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716C" w14:textId="3DDC1EE4" w:rsidR="004C3567" w:rsidRDefault="004C3567" w:rsidP="00F267CB">
      <w:pPr>
        <w:jc w:val="center"/>
        <w:rPr>
          <w:b/>
          <w:color w:val="00B050"/>
        </w:rPr>
      </w:pPr>
      <w:r>
        <w:rPr>
          <w:b/>
          <w:color w:val="00B050"/>
        </w:rPr>
        <w:t xml:space="preserve">APPENDIX </w:t>
      </w:r>
      <w:r w:rsidR="001D0603">
        <w:rPr>
          <w:b/>
          <w:color w:val="00B050"/>
        </w:rPr>
        <w:t>1</w:t>
      </w:r>
    </w:p>
    <w:p w14:paraId="77068096" w14:textId="77777777" w:rsidR="00F267CB" w:rsidRDefault="00F267CB" w:rsidP="00F267CB">
      <w:pPr>
        <w:jc w:val="center"/>
        <w:rPr>
          <w:b/>
        </w:rPr>
      </w:pPr>
    </w:p>
    <w:p w14:paraId="697A14CC" w14:textId="248BF0E7" w:rsidR="004C3567" w:rsidRDefault="004C3567" w:rsidP="00F267CB">
      <w:pPr>
        <w:pStyle w:val="ListParagraph"/>
        <w:ind w:left="360"/>
        <w:contextualSpacing w:val="0"/>
        <w:jc w:val="center"/>
        <w:rPr>
          <w:b/>
        </w:rPr>
      </w:pPr>
      <w:r w:rsidRPr="00C71884">
        <w:rPr>
          <w:b/>
        </w:rPr>
        <w:t>TEACHING ASSISTANTSHIP INFORMATION</w:t>
      </w:r>
    </w:p>
    <w:p w14:paraId="27A592EE" w14:textId="77777777" w:rsidR="00F267CB" w:rsidRDefault="00F267CB" w:rsidP="00F267CB">
      <w:pPr>
        <w:pStyle w:val="ListParagraph"/>
        <w:ind w:left="360"/>
        <w:contextualSpacing w:val="0"/>
        <w:jc w:val="center"/>
        <w:rPr>
          <w:b/>
        </w:rPr>
      </w:pPr>
    </w:p>
    <w:p w14:paraId="0B7CCAC7" w14:textId="7B8006E0" w:rsidR="004C3567" w:rsidRDefault="004C3567" w:rsidP="00F267CB">
      <w:pPr>
        <w:pStyle w:val="ListParagraph"/>
        <w:numPr>
          <w:ilvl w:val="0"/>
          <w:numId w:val="4"/>
        </w:numPr>
      </w:pPr>
      <w:r>
        <w:t>Duration (Academic Year) - TA must work throughout the entire employment period (except University Holidays</w:t>
      </w:r>
      <w:proofErr w:type="gramStart"/>
      <w:r>
        <w:t>)</w:t>
      </w:r>
      <w:r w:rsidR="00BD625D">
        <w:t>;</w:t>
      </w:r>
      <w:proofErr w:type="gramEnd"/>
    </w:p>
    <w:p w14:paraId="4D7BE0A6" w14:textId="77777777" w:rsidR="004C3567" w:rsidRDefault="004C3567" w:rsidP="00F267CB">
      <w:pPr>
        <w:pStyle w:val="ListParagraph"/>
        <w:ind w:left="792"/>
      </w:pPr>
      <w:r>
        <w:t xml:space="preserve">Fall: August – December </w:t>
      </w:r>
    </w:p>
    <w:p w14:paraId="24662E87" w14:textId="77777777" w:rsidR="004C3567" w:rsidRDefault="004C3567" w:rsidP="00F267CB">
      <w:pPr>
        <w:ind w:left="72" w:firstLine="720"/>
      </w:pPr>
      <w:r>
        <w:t xml:space="preserve">Spring: January - May </w:t>
      </w:r>
    </w:p>
    <w:p w14:paraId="7F13ABEF" w14:textId="77777777" w:rsidR="00E90D70" w:rsidRDefault="00E90D70" w:rsidP="00504409">
      <w:pPr>
        <w:pStyle w:val="ListParagraph"/>
        <w:numPr>
          <w:ilvl w:val="0"/>
          <w:numId w:val="4"/>
        </w:numPr>
        <w:contextualSpacing w:val="0"/>
      </w:pPr>
      <w:r>
        <w:t>Length of Appointment – The college limits the number of semesters that a graduate student may serve as a TA:</w:t>
      </w:r>
    </w:p>
    <w:p w14:paraId="30B7E730" w14:textId="7994C5B8" w:rsidR="00E90D70" w:rsidRDefault="00E90D70" w:rsidP="00504409">
      <w:pPr>
        <w:pStyle w:val="ListParagraph"/>
        <w:numPr>
          <w:ilvl w:val="1"/>
          <w:numId w:val="4"/>
        </w:numPr>
        <w:contextualSpacing w:val="0"/>
      </w:pPr>
      <w:r>
        <w:t>MS students are eligible for funding for no more than 4 long academic semesters</w:t>
      </w:r>
      <w:r w:rsidR="00BD625D">
        <w:t>.</w:t>
      </w:r>
    </w:p>
    <w:p w14:paraId="1A2CDD8E" w14:textId="5B7217E8" w:rsidR="00E90D70" w:rsidRDefault="00E90D70" w:rsidP="00504409">
      <w:pPr>
        <w:pStyle w:val="ListParagraph"/>
        <w:numPr>
          <w:ilvl w:val="1"/>
          <w:numId w:val="4"/>
        </w:numPr>
        <w:contextualSpacing w:val="0"/>
      </w:pPr>
      <w:r>
        <w:t>Doctoral students are eligible for funding for no more than 8 long academic semesters</w:t>
      </w:r>
      <w:r w:rsidR="00BD625D">
        <w:t>.</w:t>
      </w:r>
    </w:p>
    <w:p w14:paraId="463C3E24" w14:textId="77777777" w:rsidR="00E90D70" w:rsidRDefault="00E90D70" w:rsidP="00F267CB">
      <w:pPr>
        <w:ind w:left="360"/>
      </w:pPr>
      <w:r>
        <w:t>W</w:t>
      </w:r>
      <w:r w:rsidRPr="00E90D70">
        <w:t xml:space="preserve">hen a student switches degree programs without completing the first degree, </w:t>
      </w:r>
      <w:r>
        <w:t xml:space="preserve">the </w:t>
      </w:r>
      <w:r w:rsidRPr="00E90D70">
        <w:t>TA count does not reset.</w:t>
      </w:r>
      <w:r>
        <w:t xml:space="preserve"> </w:t>
      </w:r>
      <w:r w:rsidR="00504409">
        <w:t xml:space="preserve">Any exceptions to these limits must be for demonstrably valid reasons and approved in writing by the Dean. </w:t>
      </w:r>
    </w:p>
    <w:p w14:paraId="1028D5B4" w14:textId="77777777" w:rsidR="004C3567" w:rsidRDefault="004C3567" w:rsidP="00F267CB">
      <w:pPr>
        <w:pStyle w:val="ListParagraph"/>
        <w:numPr>
          <w:ilvl w:val="0"/>
          <w:numId w:val="4"/>
        </w:numPr>
        <w:contextualSpacing w:val="0"/>
      </w:pPr>
      <w:r>
        <w:t xml:space="preserve">Salary: TA salaries are commensurate with educational level and progress through the graduate program. </w:t>
      </w:r>
    </w:p>
    <w:tbl>
      <w:tblPr>
        <w:tblStyle w:val="TableGrid"/>
        <w:tblW w:w="0" w:type="auto"/>
        <w:tblInd w:w="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3618"/>
      </w:tblGrid>
      <w:tr w:rsidR="004C3567" w14:paraId="3547D99C" w14:textId="77777777" w:rsidTr="00D133A1">
        <w:tc>
          <w:tcPr>
            <w:tcW w:w="444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099B2014" w14:textId="77777777" w:rsidR="004C3567" w:rsidRPr="00152725" w:rsidRDefault="004C3567" w:rsidP="00D133A1">
            <w:pPr>
              <w:pStyle w:val="ListParagraph"/>
              <w:ind w:left="0"/>
              <w:rPr>
                <w:b/>
              </w:rPr>
            </w:pPr>
            <w:r w:rsidRPr="00152725">
              <w:rPr>
                <w:b/>
              </w:rPr>
              <w:t>Education Level</w:t>
            </w:r>
          </w:p>
        </w:tc>
        <w:tc>
          <w:tcPr>
            <w:tcW w:w="3618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14:paraId="1F2A4FE5" w14:textId="77777777" w:rsidR="004C3567" w:rsidRPr="00152725" w:rsidRDefault="004C3567" w:rsidP="00D133A1">
            <w:pPr>
              <w:pStyle w:val="ListParagraph"/>
              <w:ind w:left="0"/>
              <w:rPr>
                <w:b/>
              </w:rPr>
            </w:pPr>
            <w:r w:rsidRPr="00152725">
              <w:rPr>
                <w:b/>
              </w:rPr>
              <w:t>Monthly Stipend</w:t>
            </w:r>
          </w:p>
        </w:tc>
      </w:tr>
      <w:tr w:rsidR="004C3567" w14:paraId="240C55CC" w14:textId="77777777" w:rsidTr="00D133A1">
        <w:tc>
          <w:tcPr>
            <w:tcW w:w="4446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20741236" w14:textId="77777777" w:rsidR="004C3567" w:rsidRDefault="004C3567" w:rsidP="00D133A1">
            <w:pPr>
              <w:pStyle w:val="ListParagraph"/>
              <w:ind w:left="0"/>
            </w:pPr>
            <w:r>
              <w:t>Master’s Degree</w:t>
            </w:r>
          </w:p>
        </w:tc>
        <w:tc>
          <w:tcPr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1FEB619C" w14:textId="77777777" w:rsidR="004C3567" w:rsidRDefault="004C3567" w:rsidP="00D133A1">
            <w:pPr>
              <w:pStyle w:val="ListParagraph"/>
              <w:ind w:left="0"/>
            </w:pPr>
            <w:r>
              <w:t>$1,200</w:t>
            </w:r>
          </w:p>
        </w:tc>
      </w:tr>
      <w:tr w:rsidR="004C3567" w14:paraId="209DEDEB" w14:textId="77777777" w:rsidTr="00D133A1">
        <w:tc>
          <w:tcPr>
            <w:tcW w:w="4446" w:type="dxa"/>
            <w:tcBorders>
              <w:right w:val="single" w:sz="8" w:space="0" w:color="000000" w:themeColor="text1"/>
            </w:tcBorders>
          </w:tcPr>
          <w:p w14:paraId="08442876" w14:textId="77777777" w:rsidR="004C3567" w:rsidRDefault="004C3567" w:rsidP="00D133A1">
            <w:pPr>
              <w:pStyle w:val="ListParagraph"/>
              <w:ind w:left="0"/>
            </w:pPr>
            <w:r>
              <w:t xml:space="preserve">Ph.D. with B.S. and &lt; 36 graduate </w:t>
            </w:r>
            <w:proofErr w:type="spellStart"/>
            <w:r>
              <w:t>hrs</w:t>
            </w:r>
            <w:proofErr w:type="spellEnd"/>
          </w:p>
        </w:tc>
        <w:tc>
          <w:tcPr>
            <w:tcW w:w="3618" w:type="dxa"/>
            <w:tcBorders>
              <w:left w:val="single" w:sz="8" w:space="0" w:color="000000" w:themeColor="text1"/>
            </w:tcBorders>
          </w:tcPr>
          <w:p w14:paraId="39D0F6EE" w14:textId="77777777" w:rsidR="004C3567" w:rsidRDefault="004C3567" w:rsidP="00D133A1">
            <w:pPr>
              <w:pStyle w:val="ListParagraph"/>
              <w:ind w:left="0"/>
            </w:pPr>
            <w:r>
              <w:t>$1,600</w:t>
            </w:r>
          </w:p>
        </w:tc>
      </w:tr>
      <w:tr w:rsidR="004C3567" w14:paraId="72BA5E88" w14:textId="77777777" w:rsidTr="00D133A1">
        <w:tc>
          <w:tcPr>
            <w:tcW w:w="4446" w:type="dxa"/>
            <w:tcBorders>
              <w:right w:val="single" w:sz="8" w:space="0" w:color="000000" w:themeColor="text1"/>
            </w:tcBorders>
          </w:tcPr>
          <w:p w14:paraId="65BD0199" w14:textId="77777777" w:rsidR="004C3567" w:rsidRDefault="004C3567" w:rsidP="00D133A1">
            <w:pPr>
              <w:pStyle w:val="ListParagraph"/>
              <w:ind w:left="0"/>
            </w:pPr>
            <w:r>
              <w:t xml:space="preserve">Ph.D. with M.S. or &gt; 36 graduate </w:t>
            </w:r>
            <w:proofErr w:type="spellStart"/>
            <w:r>
              <w:t>hrs</w:t>
            </w:r>
            <w:proofErr w:type="spellEnd"/>
          </w:p>
        </w:tc>
        <w:tc>
          <w:tcPr>
            <w:tcW w:w="3618" w:type="dxa"/>
            <w:tcBorders>
              <w:left w:val="single" w:sz="8" w:space="0" w:color="000000" w:themeColor="text1"/>
            </w:tcBorders>
          </w:tcPr>
          <w:p w14:paraId="1EF33163" w14:textId="77777777" w:rsidR="004C3567" w:rsidRDefault="004C3567" w:rsidP="00D133A1">
            <w:pPr>
              <w:pStyle w:val="ListParagraph"/>
              <w:ind w:left="0"/>
            </w:pPr>
            <w:r>
              <w:t>$2,000</w:t>
            </w:r>
          </w:p>
        </w:tc>
      </w:tr>
      <w:tr w:rsidR="004C3567" w14:paraId="16B3C986" w14:textId="77777777" w:rsidTr="00D133A1">
        <w:tc>
          <w:tcPr>
            <w:tcW w:w="4446" w:type="dxa"/>
            <w:tcBorders>
              <w:right w:val="single" w:sz="8" w:space="0" w:color="000000" w:themeColor="text1"/>
            </w:tcBorders>
          </w:tcPr>
          <w:p w14:paraId="72C970C1" w14:textId="77777777" w:rsidR="004C3567" w:rsidRDefault="004C3567" w:rsidP="00D133A1">
            <w:pPr>
              <w:pStyle w:val="ListParagraph"/>
              <w:ind w:left="0"/>
            </w:pPr>
            <w:r>
              <w:t>Ph.D. Candidate</w:t>
            </w:r>
          </w:p>
        </w:tc>
        <w:tc>
          <w:tcPr>
            <w:tcW w:w="3618" w:type="dxa"/>
            <w:tcBorders>
              <w:left w:val="single" w:sz="8" w:space="0" w:color="000000" w:themeColor="text1"/>
            </w:tcBorders>
          </w:tcPr>
          <w:p w14:paraId="34F784F0" w14:textId="77777777" w:rsidR="004C3567" w:rsidRDefault="004C3567" w:rsidP="00D133A1">
            <w:pPr>
              <w:pStyle w:val="ListParagraph"/>
              <w:ind w:left="0"/>
            </w:pPr>
            <w:r>
              <w:t>$2,200</w:t>
            </w:r>
          </w:p>
        </w:tc>
      </w:tr>
    </w:tbl>
    <w:p w14:paraId="5D2A3BCF" w14:textId="430C070F" w:rsidR="004C3567" w:rsidRDefault="004C3567" w:rsidP="00F267CB">
      <w:pPr>
        <w:pStyle w:val="ListParagraph"/>
        <w:numPr>
          <w:ilvl w:val="0"/>
          <w:numId w:val="4"/>
        </w:numPr>
        <w:contextualSpacing w:val="0"/>
      </w:pPr>
      <w:r>
        <w:t>Benefits – The University provides health insurance benefits. More information will be provided at the time of appointment and during the benefit orientation</w:t>
      </w:r>
      <w:r w:rsidR="00BD625D">
        <w:t>.</w:t>
      </w:r>
    </w:p>
    <w:p w14:paraId="384558E7" w14:textId="3F7793E1" w:rsidR="004C3567" w:rsidRDefault="004C3567" w:rsidP="00F267CB">
      <w:pPr>
        <w:pStyle w:val="ListParagraph"/>
        <w:numPr>
          <w:ilvl w:val="0"/>
          <w:numId w:val="4"/>
        </w:numPr>
      </w:pPr>
      <w:r>
        <w:t>Eligibility – TA applicants must meet the criteria below. Appointments can be terminated at any time the students fail to comply with these guidelines</w:t>
      </w:r>
      <w:r w:rsidR="00BD625D">
        <w:t>:</w:t>
      </w:r>
    </w:p>
    <w:p w14:paraId="5770748D" w14:textId="2E0896EC" w:rsidR="004C3567" w:rsidRDefault="004C3567" w:rsidP="004C3567">
      <w:pPr>
        <w:pStyle w:val="ListParagraph"/>
        <w:numPr>
          <w:ilvl w:val="0"/>
          <w:numId w:val="6"/>
        </w:numPr>
      </w:pPr>
      <w:r>
        <w:t xml:space="preserve">Have completed a </w:t>
      </w:r>
      <w:r w:rsidR="00BD625D">
        <w:t>bachelor’s</w:t>
      </w:r>
      <w:r>
        <w:t xml:space="preserve"> degree</w:t>
      </w:r>
    </w:p>
    <w:p w14:paraId="10342EE0" w14:textId="77777777" w:rsidR="004C3567" w:rsidRDefault="004C3567" w:rsidP="004C3567">
      <w:pPr>
        <w:pStyle w:val="ListParagraph"/>
        <w:numPr>
          <w:ilvl w:val="0"/>
          <w:numId w:val="6"/>
        </w:numPr>
      </w:pPr>
      <w:r>
        <w:t>Be accepted into a graduate program at TAMUCC</w:t>
      </w:r>
    </w:p>
    <w:p w14:paraId="3CF6FF32" w14:textId="77777777" w:rsidR="004C3567" w:rsidRDefault="004C3567" w:rsidP="004C3567">
      <w:pPr>
        <w:pStyle w:val="ListParagraph"/>
        <w:numPr>
          <w:ilvl w:val="0"/>
          <w:numId w:val="6"/>
        </w:numPr>
      </w:pPr>
      <w:r>
        <w:t>Enrolled in at least nine (9) semester credit hours of graduate credit at TAMUCC during the semester of TA employment; three (3) semester credit hours over the summer if on summer TA</w:t>
      </w:r>
    </w:p>
    <w:p w14:paraId="6AA9075D" w14:textId="77777777" w:rsidR="00E245EB" w:rsidRPr="00957597" w:rsidRDefault="004C3567" w:rsidP="004C3567">
      <w:pPr>
        <w:pStyle w:val="ListParagraph"/>
        <w:numPr>
          <w:ilvl w:val="0"/>
          <w:numId w:val="6"/>
        </w:numPr>
        <w:spacing w:after="240"/>
        <w:rPr>
          <w:b/>
        </w:rPr>
      </w:pPr>
      <w:r>
        <w:t xml:space="preserve">Be in good academic standing at the time of hire and remain in good academic standing with a GPA of 3.00 or higher </w:t>
      </w:r>
      <w:r w:rsidRPr="00A548F3">
        <w:rPr>
          <w:color w:val="000000"/>
        </w:rPr>
        <w:t>(undergraduate GPA for incoming students, graduate GPA for continuing students)</w:t>
      </w:r>
    </w:p>
    <w:p w14:paraId="718C71B2" w14:textId="77777777" w:rsidR="00504409" w:rsidRPr="00504409" w:rsidRDefault="00957597" w:rsidP="00504409">
      <w:pPr>
        <w:pStyle w:val="ListParagraph"/>
        <w:numPr>
          <w:ilvl w:val="0"/>
          <w:numId w:val="6"/>
        </w:numPr>
        <w:spacing w:after="120"/>
        <w:rPr>
          <w:b/>
        </w:rPr>
      </w:pPr>
      <w:r>
        <w:rPr>
          <w:color w:val="000000"/>
        </w:rPr>
        <w:t>Have satisfactory performance evaluation(s) of TA assignments in preceding semester(s) at TAMUCC as applicable</w:t>
      </w:r>
    </w:p>
    <w:p w14:paraId="6753185D" w14:textId="2A22FE5D" w:rsidR="00BD625D" w:rsidRPr="00746C3F" w:rsidRDefault="00547FC3" w:rsidP="00BD625D">
      <w:pPr>
        <w:pStyle w:val="xmsonormal"/>
        <w:numPr>
          <w:ilvl w:val="0"/>
          <w:numId w:val="4"/>
        </w:numPr>
        <w:rPr>
          <w:rStyle w:val="Hyperlink"/>
          <w:rFonts w:asciiTheme="minorHAnsi" w:hAnsiTheme="minorHAnsi" w:cs="Times New Roman"/>
          <w:sz w:val="24"/>
          <w:szCs w:val="24"/>
        </w:rPr>
      </w:pPr>
      <w:r w:rsidRPr="00BD625D">
        <w:rPr>
          <w:rFonts w:asciiTheme="minorHAnsi" w:hAnsiTheme="minorHAnsi"/>
          <w:sz w:val="24"/>
          <w:szCs w:val="24"/>
        </w:rPr>
        <w:t xml:space="preserve">Application – students interested in applying for Teaching Assistantship should submit </w:t>
      </w:r>
      <w:r w:rsidR="00504409" w:rsidRPr="00BD625D">
        <w:rPr>
          <w:rFonts w:asciiTheme="minorHAnsi" w:hAnsiTheme="minorHAnsi"/>
          <w:sz w:val="24"/>
          <w:szCs w:val="24"/>
        </w:rPr>
        <w:t xml:space="preserve">their completed form online </w:t>
      </w:r>
      <w:r w:rsidR="00504409" w:rsidRPr="00746C3F">
        <w:rPr>
          <w:rFonts w:asciiTheme="minorHAnsi" w:hAnsiTheme="minorHAnsi"/>
          <w:sz w:val="24"/>
          <w:szCs w:val="24"/>
        </w:rPr>
        <w:t xml:space="preserve">via </w:t>
      </w:r>
      <w:r w:rsidR="003E5AA1" w:rsidRPr="00746C3F">
        <w:rPr>
          <w:rFonts w:asciiTheme="minorHAnsi" w:hAnsiTheme="minorHAnsi" w:cs="Times New Roman"/>
          <w:sz w:val="24"/>
          <w:szCs w:val="24"/>
        </w:rPr>
        <w:fldChar w:fldCharType="begin"/>
      </w:r>
      <w:r w:rsidR="003E5AA1" w:rsidRPr="00746C3F">
        <w:rPr>
          <w:rFonts w:asciiTheme="minorHAnsi" w:hAnsiTheme="minorHAnsi" w:cs="Times New Roman"/>
          <w:sz w:val="24"/>
          <w:szCs w:val="24"/>
        </w:rPr>
        <w:instrText xml:space="preserve"> HYPERLINK "https://docs.google.com/forms/d/e/1FAIpQLSeU8kttSmIJYXSdazbsYQYg0yMKyuf_ANc-qZJrt94DffYKVA/viewform?usp=sf_link" </w:instrText>
      </w:r>
      <w:r w:rsidR="003E5AA1" w:rsidRPr="00746C3F">
        <w:rPr>
          <w:rFonts w:asciiTheme="minorHAnsi" w:hAnsiTheme="minorHAnsi" w:cs="Times New Roman"/>
          <w:sz w:val="24"/>
          <w:szCs w:val="24"/>
        </w:rPr>
      </w:r>
      <w:r w:rsidR="003E5AA1" w:rsidRPr="00746C3F">
        <w:rPr>
          <w:rFonts w:asciiTheme="minorHAnsi" w:hAnsiTheme="minorHAnsi" w:cs="Times New Roman"/>
          <w:sz w:val="24"/>
          <w:szCs w:val="24"/>
        </w:rPr>
        <w:fldChar w:fldCharType="separate"/>
      </w:r>
      <w:r w:rsidR="00746C3F" w:rsidRPr="00746C3F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="0003004D">
          <w:rPr>
            <w:rStyle w:val="Hyperlink"/>
            <w:rFonts w:asciiTheme="minorHAnsi" w:hAnsiTheme="minorHAnsi"/>
            <w:sz w:val="24"/>
            <w:szCs w:val="24"/>
          </w:rPr>
          <w:t>College of Science &amp; College of Engineering TA Application</w:t>
        </w:r>
      </w:hyperlink>
      <w:r w:rsidR="003E5AA1" w:rsidRPr="00746C3F">
        <w:rPr>
          <w:rStyle w:val="Hyperlink"/>
          <w:rFonts w:asciiTheme="minorHAnsi" w:hAnsiTheme="minorHAnsi" w:cs="Times New Roman"/>
          <w:sz w:val="24"/>
          <w:szCs w:val="24"/>
        </w:rPr>
        <w:t xml:space="preserve"> </w:t>
      </w:r>
      <w:r w:rsidR="003E5AA1" w:rsidRPr="00746C3F">
        <w:rPr>
          <w:rStyle w:val="Hyperlink"/>
          <w:rFonts w:asciiTheme="minorHAnsi" w:hAnsiTheme="minorHAnsi" w:cs="Times New Roman"/>
          <w:color w:val="auto"/>
          <w:sz w:val="24"/>
          <w:szCs w:val="24"/>
          <w:u w:val="none"/>
        </w:rPr>
        <w:t>link</w:t>
      </w:r>
      <w:r w:rsidR="00BD625D" w:rsidRPr="00746C3F">
        <w:rPr>
          <w:rStyle w:val="Hyperlink"/>
          <w:rFonts w:asciiTheme="minorHAnsi" w:hAnsiTheme="minorHAnsi" w:cs="Times New Roman"/>
          <w:color w:val="auto"/>
          <w:sz w:val="24"/>
          <w:szCs w:val="24"/>
          <w:u w:val="none"/>
        </w:rPr>
        <w:t>.</w:t>
      </w:r>
    </w:p>
    <w:p w14:paraId="1645046D" w14:textId="1DEB3F14" w:rsidR="0067134D" w:rsidRDefault="003E5AA1" w:rsidP="00BD625D">
      <w:pPr>
        <w:pStyle w:val="ListParagraph"/>
        <w:numPr>
          <w:ilvl w:val="0"/>
          <w:numId w:val="8"/>
        </w:numPr>
        <w:spacing w:after="240"/>
        <w:rPr>
          <w:rStyle w:val="Hyperlink"/>
          <w:color w:val="auto"/>
          <w:u w:val="none"/>
        </w:rPr>
      </w:pPr>
      <w:r w:rsidRPr="00746C3F">
        <w:rPr>
          <w:rFonts w:eastAsiaTheme="minorHAnsi" w:cs="Times New Roman"/>
        </w:rPr>
        <w:fldChar w:fldCharType="end"/>
      </w:r>
      <w:r w:rsidR="006F744D">
        <w:rPr>
          <w:rStyle w:val="Hyperlink"/>
          <w:color w:val="auto"/>
          <w:u w:val="none"/>
        </w:rPr>
        <w:t>Students can submit a TA application</w:t>
      </w:r>
      <w:r w:rsidR="00542346">
        <w:rPr>
          <w:rStyle w:val="Hyperlink"/>
          <w:color w:val="auto"/>
          <w:u w:val="none"/>
        </w:rPr>
        <w:t xml:space="preserve"> and can be considered for TA assignment</w:t>
      </w:r>
      <w:r w:rsidR="006F744D">
        <w:rPr>
          <w:rStyle w:val="Hyperlink"/>
          <w:color w:val="auto"/>
          <w:u w:val="none"/>
        </w:rPr>
        <w:t xml:space="preserve"> before being admitted to </w:t>
      </w:r>
      <w:r w:rsidR="00542346">
        <w:rPr>
          <w:rStyle w:val="Hyperlink"/>
          <w:color w:val="auto"/>
          <w:u w:val="none"/>
        </w:rPr>
        <w:t xml:space="preserve">a program. Final assignment, however, is </w:t>
      </w:r>
      <w:r w:rsidR="00F22E3B">
        <w:rPr>
          <w:rStyle w:val="Hyperlink"/>
          <w:color w:val="auto"/>
          <w:u w:val="none"/>
        </w:rPr>
        <w:t>contingent</w:t>
      </w:r>
      <w:r w:rsidR="00542346">
        <w:rPr>
          <w:rStyle w:val="Hyperlink"/>
          <w:color w:val="auto"/>
          <w:u w:val="none"/>
        </w:rPr>
        <w:t xml:space="preserve"> upon admittance to the program. </w:t>
      </w:r>
    </w:p>
    <w:p w14:paraId="64DF9AAF" w14:textId="77777777" w:rsidR="00D322F8" w:rsidRDefault="00D322F8" w:rsidP="00D322F8">
      <w:pPr>
        <w:pStyle w:val="ListParagraph"/>
        <w:spacing w:after="240"/>
        <w:ind w:left="1080"/>
      </w:pPr>
    </w:p>
    <w:p w14:paraId="70C7950C" w14:textId="21E9F4CB" w:rsidR="0067134D" w:rsidRDefault="0067134D" w:rsidP="0067134D">
      <w:pPr>
        <w:pStyle w:val="ListParagraph"/>
        <w:numPr>
          <w:ilvl w:val="0"/>
          <w:numId w:val="4"/>
        </w:numPr>
        <w:spacing w:after="240"/>
      </w:pPr>
      <w:r>
        <w:lastRenderedPageBreak/>
        <w:t xml:space="preserve">Teaching Assistantship Awards – </w:t>
      </w:r>
      <w:proofErr w:type="spellStart"/>
      <w:r>
        <w:t>TAships</w:t>
      </w:r>
      <w:proofErr w:type="spellEnd"/>
      <w:r>
        <w:t xml:space="preserve"> are limited in number and awarded</w:t>
      </w:r>
      <w:r w:rsidR="00A0244C">
        <w:t xml:space="preserve"> in order of priority</w:t>
      </w:r>
      <w:r w:rsidR="006A74E8">
        <w:t xml:space="preserve">, </w:t>
      </w:r>
      <w:r w:rsidR="00B81773">
        <w:t>subject to the needs of the program</w:t>
      </w:r>
      <w:r w:rsidR="006A74E8">
        <w:t>, (1)</w:t>
      </w:r>
      <w:r w:rsidR="00B81773">
        <w:t xml:space="preserve"> </w:t>
      </w:r>
      <w:r w:rsidR="006F1227">
        <w:t>Ph</w:t>
      </w:r>
      <w:r w:rsidR="00F22E3B">
        <w:t>D</w:t>
      </w:r>
      <w:r w:rsidR="006F1227">
        <w:t xml:space="preserve"> students</w:t>
      </w:r>
      <w:r w:rsidR="00B81773">
        <w:t xml:space="preserve"> and Ph</w:t>
      </w:r>
      <w:r w:rsidR="00F22E3B">
        <w:t>D</w:t>
      </w:r>
      <w:r w:rsidR="00B81773">
        <w:t xml:space="preserve"> candi</w:t>
      </w:r>
      <w:r w:rsidR="006A74E8">
        <w:t>dates within their TA limits, (2) MS Students within their TA limits and (3) TAs at limit with no GPA appeal</w:t>
      </w:r>
      <w:r w:rsidR="00A0244C">
        <w:t>s</w:t>
      </w:r>
      <w:r w:rsidR="006A74E8">
        <w:t xml:space="preserve"> </w:t>
      </w:r>
      <w:r w:rsidR="00A0244C">
        <w:t>Students with GPA appeals will be considered for review if a need is warranted</w:t>
      </w:r>
      <w:r w:rsidR="003D014C">
        <w:t>.</w:t>
      </w:r>
    </w:p>
    <w:p w14:paraId="31FE24F4" w14:textId="77777777" w:rsidR="00A50017" w:rsidRDefault="00A50017" w:rsidP="0067134D">
      <w:pPr>
        <w:pStyle w:val="ListParagraph"/>
        <w:numPr>
          <w:ilvl w:val="0"/>
          <w:numId w:val="4"/>
        </w:numPr>
        <w:spacing w:after="240"/>
      </w:pPr>
      <w:r>
        <w:t xml:space="preserve">Priority Consideration – Priority is given to students who apply for teaching assistantship by the deadline. Those who apply after that date are considered on a funds-available basis </w:t>
      </w:r>
      <w:r w:rsidR="00A0244C">
        <w:t>following</w:t>
      </w:r>
      <w:r w:rsidR="006F1227">
        <w:t xml:space="preserve"> these conditions:</w:t>
      </w:r>
    </w:p>
    <w:p w14:paraId="0FFE1A13" w14:textId="77777777" w:rsidR="006F1227" w:rsidRDefault="006F1227" w:rsidP="006A6C47">
      <w:pPr>
        <w:pStyle w:val="ListParagraph"/>
        <w:numPr>
          <w:ilvl w:val="1"/>
          <w:numId w:val="4"/>
        </w:numPr>
        <w:spacing w:after="240"/>
      </w:pPr>
      <w:r>
        <w:t xml:space="preserve">The student meets the criteria for TA appointment </w:t>
      </w:r>
      <w:r w:rsidR="00013D4E">
        <w:t xml:space="preserve">but unable to submit application by the deadline due to extenuating circumstances. Extenuating circumstances are defined as verified illness, </w:t>
      </w:r>
      <w:proofErr w:type="gramStart"/>
      <w:r w:rsidR="00013D4E">
        <w:t>accident</w:t>
      </w:r>
      <w:proofErr w:type="gramEnd"/>
      <w:r w:rsidR="00013D4E">
        <w:t xml:space="preserve"> or circumstances beyond the student’s control. Students will be required to provide documentation. </w:t>
      </w:r>
    </w:p>
    <w:p w14:paraId="223AF623" w14:textId="46253A4E" w:rsidR="000A6484" w:rsidRDefault="00013D4E" w:rsidP="006A6C47">
      <w:pPr>
        <w:pStyle w:val="ListParagraph"/>
        <w:numPr>
          <w:ilvl w:val="1"/>
          <w:numId w:val="4"/>
        </w:numPr>
        <w:spacing w:after="240"/>
      </w:pPr>
      <w:r>
        <w:t>Students with no extenuating circumstances</w:t>
      </w:r>
      <w:r w:rsidR="009A3EB6">
        <w:t xml:space="preserve"> will have priority over a late returning TA who is at the limit but</w:t>
      </w:r>
      <w:r>
        <w:t xml:space="preserve"> will be considered only if requested specifically by a faculty member or department</w:t>
      </w:r>
      <w:r w:rsidR="00D909BA">
        <w:t>.</w:t>
      </w:r>
    </w:p>
    <w:p w14:paraId="4B016F23" w14:textId="3657D616" w:rsidR="000A6484" w:rsidRDefault="000A6484" w:rsidP="000A6484">
      <w:pPr>
        <w:pStyle w:val="ListParagraph"/>
        <w:numPr>
          <w:ilvl w:val="0"/>
          <w:numId w:val="4"/>
        </w:numPr>
        <w:spacing w:after="240"/>
      </w:pPr>
      <w:r>
        <w:t xml:space="preserve">Appointment Letters – </w:t>
      </w:r>
      <w:r w:rsidR="005679D3">
        <w:t>Official appointment letters will be provided to s</w:t>
      </w:r>
      <w:r>
        <w:t xml:space="preserve">tudents awarded with </w:t>
      </w:r>
      <w:r w:rsidR="005679D3">
        <w:t xml:space="preserve">TA positions. If already signed and accepted by the student, appointment letters cannot be rescinded in favor of a TA applicant on priority consideration. </w:t>
      </w:r>
    </w:p>
    <w:p w14:paraId="366787ED" w14:textId="7EAD108A" w:rsidR="00EE7F9A" w:rsidRDefault="00EE7F9A" w:rsidP="00EE7F9A">
      <w:pPr>
        <w:pStyle w:val="ListParagraph"/>
        <w:numPr>
          <w:ilvl w:val="0"/>
          <w:numId w:val="4"/>
        </w:numPr>
      </w:pPr>
      <w:r w:rsidRPr="00EE7F9A">
        <w:t xml:space="preserve">All </w:t>
      </w:r>
      <w:r w:rsidR="00765CD4">
        <w:t>applicants</w:t>
      </w:r>
      <w:r w:rsidRPr="00EE7F9A">
        <w:t xml:space="preserve"> whose primary language is not English </w:t>
      </w:r>
      <w:r>
        <w:t>will</w:t>
      </w:r>
      <w:r w:rsidRPr="00EE7F9A">
        <w:t xml:space="preserve"> be required to </w:t>
      </w:r>
      <w:r>
        <w:t xml:space="preserve">provide evidence of </w:t>
      </w:r>
      <w:r w:rsidRPr="00EE7F9A">
        <w:t xml:space="preserve">English </w:t>
      </w:r>
      <w:r>
        <w:t xml:space="preserve">language </w:t>
      </w:r>
      <w:r w:rsidR="001D0603" w:rsidRPr="00EE7F9A">
        <w:t>proficiency.</w:t>
      </w:r>
    </w:p>
    <w:p w14:paraId="6E1970A0" w14:textId="38D5272A" w:rsidR="00765CD4" w:rsidRPr="00EE7F9A" w:rsidRDefault="00765CD4" w:rsidP="00765CD4">
      <w:pPr>
        <w:pStyle w:val="ListParagraph"/>
        <w:numPr>
          <w:ilvl w:val="0"/>
          <w:numId w:val="4"/>
        </w:numPr>
      </w:pPr>
      <w:r w:rsidRPr="00EE7F9A">
        <w:t xml:space="preserve">All students accepting TA position must undergo mandatory training. </w:t>
      </w:r>
    </w:p>
    <w:p w14:paraId="62BCD003" w14:textId="77777777" w:rsidR="00EE7F9A" w:rsidRPr="00241393" w:rsidRDefault="00EE7F9A" w:rsidP="00EE7F9A">
      <w:pPr>
        <w:pStyle w:val="ListParagraph"/>
        <w:spacing w:after="240"/>
        <w:ind w:left="360"/>
      </w:pPr>
    </w:p>
    <w:sectPr w:rsidR="00EE7F9A" w:rsidRPr="00241393" w:rsidSect="00311A71">
      <w:headerReference w:type="default" r:id="rId9"/>
      <w:footerReference w:type="default" r:id="rId10"/>
      <w:pgSz w:w="12240" w:h="15840" w:code="1"/>
      <w:pgMar w:top="1440" w:right="1584" w:bottom="1008" w:left="158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B015" w14:textId="77777777" w:rsidR="006227F4" w:rsidRDefault="006227F4" w:rsidP="003337E8">
      <w:r>
        <w:separator/>
      </w:r>
    </w:p>
  </w:endnote>
  <w:endnote w:type="continuationSeparator" w:id="0">
    <w:p w14:paraId="43159F2D" w14:textId="77777777" w:rsidR="006227F4" w:rsidRDefault="006227F4" w:rsidP="003337E8">
      <w:r>
        <w:continuationSeparator/>
      </w:r>
    </w:p>
  </w:endnote>
  <w:endnote w:type="continuationNotice" w:id="1">
    <w:p w14:paraId="1B30A85B" w14:textId="77777777" w:rsidR="006227F4" w:rsidRDefault="006227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F119" w14:textId="77777777" w:rsidR="00D133A1" w:rsidRDefault="00D133A1">
    <w:pPr>
      <w:pStyle w:val="Footer"/>
    </w:pPr>
  </w:p>
  <w:p w14:paraId="03BF1EBB" w14:textId="77777777" w:rsidR="00D133A1" w:rsidRDefault="00D13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5C7A5" w14:textId="77777777" w:rsidR="006227F4" w:rsidRDefault="006227F4" w:rsidP="003337E8">
      <w:r>
        <w:separator/>
      </w:r>
    </w:p>
  </w:footnote>
  <w:footnote w:type="continuationSeparator" w:id="0">
    <w:p w14:paraId="7F576A53" w14:textId="77777777" w:rsidR="006227F4" w:rsidRDefault="006227F4" w:rsidP="003337E8">
      <w:r>
        <w:continuationSeparator/>
      </w:r>
    </w:p>
  </w:footnote>
  <w:footnote w:type="continuationNotice" w:id="1">
    <w:p w14:paraId="52EB1541" w14:textId="77777777" w:rsidR="006227F4" w:rsidRDefault="006227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B6FA" w14:textId="460C5853" w:rsidR="00D322F8" w:rsidRDefault="00D322F8" w:rsidP="00D322F8">
    <w:pPr>
      <w:pStyle w:val="Header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DC74835" wp14:editId="33A361CA">
          <wp:simplePos x="0" y="0"/>
          <wp:positionH relativeFrom="column">
            <wp:posOffset>-927735</wp:posOffset>
          </wp:positionH>
          <wp:positionV relativeFrom="paragraph">
            <wp:posOffset>-200025</wp:posOffset>
          </wp:positionV>
          <wp:extent cx="2676525" cy="831713"/>
          <wp:effectExtent l="0" t="0" r="0" b="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525" cy="831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0"/>
        <w:szCs w:val="20"/>
      </w:rPr>
      <w:t>C</w:t>
    </w:r>
    <w:r w:rsidRPr="001A4A39">
      <w:rPr>
        <w:b/>
        <w:sz w:val="20"/>
        <w:szCs w:val="20"/>
      </w:rPr>
      <w:t xml:space="preserve">ollege of </w:t>
    </w:r>
    <w:r>
      <w:rPr>
        <w:b/>
        <w:sz w:val="20"/>
        <w:szCs w:val="20"/>
      </w:rPr>
      <w:t>Science</w:t>
    </w:r>
  </w:p>
  <w:p w14:paraId="3B0F6811" w14:textId="77777777" w:rsidR="00D322F8" w:rsidRPr="00296C2B" w:rsidRDefault="00D322F8" w:rsidP="00D322F8">
    <w:pPr>
      <w:pStyle w:val="Header"/>
      <w:jc w:val="right"/>
      <w:rPr>
        <w:b/>
        <w:sz w:val="10"/>
        <w:szCs w:val="10"/>
      </w:rPr>
    </w:pPr>
  </w:p>
  <w:p w14:paraId="59182672" w14:textId="77777777" w:rsidR="00D322F8" w:rsidRPr="001A4A39" w:rsidRDefault="00D322F8" w:rsidP="00D322F8">
    <w:pPr>
      <w:pStyle w:val="Header"/>
      <w:jc w:val="right"/>
      <w:rPr>
        <w:sz w:val="16"/>
        <w:szCs w:val="16"/>
      </w:rPr>
    </w:pPr>
    <w:r w:rsidRPr="001A4A39">
      <w:rPr>
        <w:sz w:val="16"/>
        <w:szCs w:val="16"/>
      </w:rPr>
      <w:t>6300 Ocean Drive, Unit 5806</w:t>
    </w:r>
  </w:p>
  <w:p w14:paraId="0E87CE31" w14:textId="77777777" w:rsidR="00D322F8" w:rsidRPr="001A4A39" w:rsidRDefault="00D322F8" w:rsidP="00D322F8">
    <w:pPr>
      <w:pStyle w:val="Header"/>
      <w:jc w:val="right"/>
      <w:rPr>
        <w:sz w:val="16"/>
        <w:szCs w:val="16"/>
      </w:rPr>
    </w:pPr>
    <w:r w:rsidRPr="001A4A39">
      <w:rPr>
        <w:sz w:val="16"/>
        <w:szCs w:val="16"/>
      </w:rPr>
      <w:t>Corpus Christi, Texas 78412-5806</w:t>
    </w:r>
  </w:p>
  <w:p w14:paraId="0AFDDB10" w14:textId="02EA90F9" w:rsidR="00D322F8" w:rsidRPr="001A4A39" w:rsidRDefault="00D322F8" w:rsidP="00D322F8">
    <w:pPr>
      <w:pStyle w:val="Header"/>
      <w:jc w:val="right"/>
      <w:rPr>
        <w:sz w:val="16"/>
        <w:szCs w:val="16"/>
      </w:rPr>
    </w:pPr>
    <w:r w:rsidRPr="001A4A39">
      <w:rPr>
        <w:sz w:val="16"/>
        <w:szCs w:val="16"/>
      </w:rPr>
      <w:t>O 361.825.</w:t>
    </w:r>
    <w:r>
      <w:rPr>
        <w:sz w:val="16"/>
        <w:szCs w:val="16"/>
      </w:rPr>
      <w:t>6094</w:t>
    </w:r>
    <w:r>
      <w:rPr>
        <w:sz w:val="16"/>
        <w:szCs w:val="16"/>
      </w:rPr>
      <w:t xml:space="preserve">   </w:t>
    </w:r>
    <w:r w:rsidRPr="001A4A39">
      <w:rPr>
        <w:sz w:val="16"/>
        <w:szCs w:val="16"/>
      </w:rPr>
      <w:t xml:space="preserve">  F 361.825.5789</w:t>
    </w:r>
  </w:p>
  <w:p w14:paraId="63388530" w14:textId="0A7BAF9A" w:rsidR="00D133A1" w:rsidRDefault="00D13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FEA"/>
    <w:multiLevelType w:val="hybridMultilevel"/>
    <w:tmpl w:val="72C2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A568E"/>
    <w:multiLevelType w:val="hybridMultilevel"/>
    <w:tmpl w:val="FF6A3296"/>
    <w:lvl w:ilvl="0" w:tplc="69A68A1C">
      <w:start w:val="13"/>
      <w:numFmt w:val="bullet"/>
      <w:lvlText w:val="-"/>
      <w:lvlJc w:val="left"/>
      <w:pPr>
        <w:ind w:left="1152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93F646A"/>
    <w:multiLevelType w:val="hybridMultilevel"/>
    <w:tmpl w:val="E3A2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D3929"/>
    <w:multiLevelType w:val="hybridMultilevel"/>
    <w:tmpl w:val="1EAE79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161E1B"/>
    <w:multiLevelType w:val="hybridMultilevel"/>
    <w:tmpl w:val="A8B83DF6"/>
    <w:lvl w:ilvl="0" w:tplc="69A68A1C">
      <w:start w:val="1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9058A3"/>
    <w:multiLevelType w:val="multilevel"/>
    <w:tmpl w:val="141CB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372B84"/>
    <w:multiLevelType w:val="hybridMultilevel"/>
    <w:tmpl w:val="60E8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31EE1"/>
    <w:multiLevelType w:val="multilevel"/>
    <w:tmpl w:val="49A49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3"/>
      <w:numFmt w:val="bullet"/>
      <w:lvlText w:val="-"/>
      <w:lvlJc w:val="left"/>
      <w:pPr>
        <w:ind w:left="792" w:hanging="432"/>
      </w:pPr>
      <w:rPr>
        <w:rFonts w:ascii="Cambria" w:eastAsiaTheme="minorEastAsia" w:hAnsi="Cambria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36846533">
    <w:abstractNumId w:val="2"/>
  </w:num>
  <w:num w:numId="2" w16cid:durableId="1727291490">
    <w:abstractNumId w:val="0"/>
  </w:num>
  <w:num w:numId="3" w16cid:durableId="1970745602">
    <w:abstractNumId w:val="6"/>
  </w:num>
  <w:num w:numId="4" w16cid:durableId="716978811">
    <w:abstractNumId w:val="7"/>
  </w:num>
  <w:num w:numId="5" w16cid:durableId="1293636494">
    <w:abstractNumId w:val="3"/>
  </w:num>
  <w:num w:numId="6" w16cid:durableId="108160657">
    <w:abstractNumId w:val="1"/>
  </w:num>
  <w:num w:numId="7" w16cid:durableId="552078291">
    <w:abstractNumId w:val="5"/>
  </w:num>
  <w:num w:numId="8" w16cid:durableId="12322303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4C"/>
    <w:rsid w:val="00013D4E"/>
    <w:rsid w:val="00015487"/>
    <w:rsid w:val="00022BDC"/>
    <w:rsid w:val="0003004D"/>
    <w:rsid w:val="00067861"/>
    <w:rsid w:val="00074833"/>
    <w:rsid w:val="000A6484"/>
    <w:rsid w:val="000E03DD"/>
    <w:rsid w:val="000F2348"/>
    <w:rsid w:val="000F702C"/>
    <w:rsid w:val="0014334F"/>
    <w:rsid w:val="001473DA"/>
    <w:rsid w:val="00150CD0"/>
    <w:rsid w:val="00152725"/>
    <w:rsid w:val="00163EA5"/>
    <w:rsid w:val="00184443"/>
    <w:rsid w:val="00194DD8"/>
    <w:rsid w:val="001953EA"/>
    <w:rsid w:val="001A37A4"/>
    <w:rsid w:val="001B37A3"/>
    <w:rsid w:val="001B7811"/>
    <w:rsid w:val="001C7A76"/>
    <w:rsid w:val="001D0603"/>
    <w:rsid w:val="00237A38"/>
    <w:rsid w:val="00241393"/>
    <w:rsid w:val="00245F9F"/>
    <w:rsid w:val="00262B66"/>
    <w:rsid w:val="00291391"/>
    <w:rsid w:val="002C4A58"/>
    <w:rsid w:val="002D4624"/>
    <w:rsid w:val="00311A71"/>
    <w:rsid w:val="003337E8"/>
    <w:rsid w:val="00334A75"/>
    <w:rsid w:val="00377365"/>
    <w:rsid w:val="003A07EF"/>
    <w:rsid w:val="003B144C"/>
    <w:rsid w:val="003D014C"/>
    <w:rsid w:val="003E54EE"/>
    <w:rsid w:val="003E5AA1"/>
    <w:rsid w:val="00417231"/>
    <w:rsid w:val="0049593D"/>
    <w:rsid w:val="004C3567"/>
    <w:rsid w:val="004C6AAE"/>
    <w:rsid w:val="004E01B9"/>
    <w:rsid w:val="0050144B"/>
    <w:rsid w:val="00504409"/>
    <w:rsid w:val="005053CE"/>
    <w:rsid w:val="00542346"/>
    <w:rsid w:val="00547FC3"/>
    <w:rsid w:val="005679D3"/>
    <w:rsid w:val="005859C8"/>
    <w:rsid w:val="00586147"/>
    <w:rsid w:val="00595043"/>
    <w:rsid w:val="005A6C88"/>
    <w:rsid w:val="005C5991"/>
    <w:rsid w:val="00602A22"/>
    <w:rsid w:val="006227F4"/>
    <w:rsid w:val="00632040"/>
    <w:rsid w:val="0067134D"/>
    <w:rsid w:val="00680F77"/>
    <w:rsid w:val="006A6C47"/>
    <w:rsid w:val="006A74E8"/>
    <w:rsid w:val="006B00CF"/>
    <w:rsid w:val="006F1227"/>
    <w:rsid w:val="006F744D"/>
    <w:rsid w:val="00722C8F"/>
    <w:rsid w:val="007351C5"/>
    <w:rsid w:val="00746C3F"/>
    <w:rsid w:val="00755BAD"/>
    <w:rsid w:val="0075628D"/>
    <w:rsid w:val="00765CD4"/>
    <w:rsid w:val="00772839"/>
    <w:rsid w:val="00797CB9"/>
    <w:rsid w:val="007A2023"/>
    <w:rsid w:val="007A2604"/>
    <w:rsid w:val="007A29CA"/>
    <w:rsid w:val="007F0E12"/>
    <w:rsid w:val="0088149B"/>
    <w:rsid w:val="008C1913"/>
    <w:rsid w:val="008F5334"/>
    <w:rsid w:val="008F5598"/>
    <w:rsid w:val="00905C86"/>
    <w:rsid w:val="00946CB2"/>
    <w:rsid w:val="009535F2"/>
    <w:rsid w:val="00957597"/>
    <w:rsid w:val="00985971"/>
    <w:rsid w:val="00993D09"/>
    <w:rsid w:val="009A3EB6"/>
    <w:rsid w:val="009C0E74"/>
    <w:rsid w:val="009C202D"/>
    <w:rsid w:val="00A0244C"/>
    <w:rsid w:val="00A50017"/>
    <w:rsid w:val="00A52A14"/>
    <w:rsid w:val="00A548F3"/>
    <w:rsid w:val="00A54B57"/>
    <w:rsid w:val="00A629E2"/>
    <w:rsid w:val="00A64FF1"/>
    <w:rsid w:val="00A84F76"/>
    <w:rsid w:val="00AC2D0E"/>
    <w:rsid w:val="00AC57D1"/>
    <w:rsid w:val="00AF5D12"/>
    <w:rsid w:val="00B316C9"/>
    <w:rsid w:val="00B81773"/>
    <w:rsid w:val="00BA06CA"/>
    <w:rsid w:val="00BA6F10"/>
    <w:rsid w:val="00BD625D"/>
    <w:rsid w:val="00BF65C0"/>
    <w:rsid w:val="00C31D4E"/>
    <w:rsid w:val="00C71884"/>
    <w:rsid w:val="00C84045"/>
    <w:rsid w:val="00C9737A"/>
    <w:rsid w:val="00CE1A5E"/>
    <w:rsid w:val="00D133A1"/>
    <w:rsid w:val="00D13BEE"/>
    <w:rsid w:val="00D322F8"/>
    <w:rsid w:val="00D909BA"/>
    <w:rsid w:val="00DA07F0"/>
    <w:rsid w:val="00DB3CDE"/>
    <w:rsid w:val="00DD4DEC"/>
    <w:rsid w:val="00DD7435"/>
    <w:rsid w:val="00E06B6C"/>
    <w:rsid w:val="00E15447"/>
    <w:rsid w:val="00E23184"/>
    <w:rsid w:val="00E245EB"/>
    <w:rsid w:val="00E400A0"/>
    <w:rsid w:val="00E565F4"/>
    <w:rsid w:val="00E73097"/>
    <w:rsid w:val="00E90D70"/>
    <w:rsid w:val="00E95B2C"/>
    <w:rsid w:val="00EE7F9A"/>
    <w:rsid w:val="00F06FA7"/>
    <w:rsid w:val="00F22E3B"/>
    <w:rsid w:val="00F267CB"/>
    <w:rsid w:val="00F67D2A"/>
    <w:rsid w:val="00F704FB"/>
    <w:rsid w:val="00F86588"/>
    <w:rsid w:val="00FB7E08"/>
    <w:rsid w:val="00FC1479"/>
    <w:rsid w:val="00FD0547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502F8B6"/>
  <w15:docId w15:val="{35A674AD-B848-401A-96ED-0B775BC4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E01B9"/>
    <w:pPr>
      <w:ind w:left="720"/>
      <w:contextualSpacing/>
    </w:pPr>
  </w:style>
  <w:style w:type="table" w:styleId="TableGrid">
    <w:name w:val="Table Grid"/>
    <w:basedOn w:val="TableNormal"/>
    <w:uiPriority w:val="59"/>
    <w:rsid w:val="00D13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7E8"/>
  </w:style>
  <w:style w:type="paragraph" w:styleId="Footer">
    <w:name w:val="footer"/>
    <w:basedOn w:val="Normal"/>
    <w:link w:val="FooterChar"/>
    <w:uiPriority w:val="99"/>
    <w:unhideWhenUsed/>
    <w:rsid w:val="00333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7E8"/>
  </w:style>
  <w:style w:type="paragraph" w:styleId="BalloonText">
    <w:name w:val="Balloon Text"/>
    <w:basedOn w:val="Normal"/>
    <w:link w:val="BalloonTextChar"/>
    <w:uiPriority w:val="99"/>
    <w:semiHidden/>
    <w:unhideWhenUsed/>
    <w:rsid w:val="00333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2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B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B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7231"/>
  </w:style>
  <w:style w:type="character" w:styleId="Hyperlink">
    <w:name w:val="Hyperlink"/>
    <w:basedOn w:val="DefaultParagraphFont"/>
    <w:uiPriority w:val="99"/>
    <w:unhideWhenUsed/>
    <w:rsid w:val="00602A22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BD625D"/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E5AA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i_199A4hiovQ8TwlQmP_byrdQXT_QIbPmFdjG0-RA1hhKVw/viewform?usp=pp_ur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0371-AA1A-4ECC-85A2-073C17E9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University-Corpus Christi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Roth</dc:creator>
  <cp:lastModifiedBy>Sentz, Sasha</cp:lastModifiedBy>
  <cp:revision>8</cp:revision>
  <cp:lastPrinted>2015-11-18T18:46:00Z</cp:lastPrinted>
  <dcterms:created xsi:type="dcterms:W3CDTF">2017-12-14T16:04:00Z</dcterms:created>
  <dcterms:modified xsi:type="dcterms:W3CDTF">2023-04-19T14:05:00Z</dcterms:modified>
</cp:coreProperties>
</file>