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AC" w:rsidRPr="008D3AA2" w:rsidRDefault="00E970FB" w:rsidP="003D0C9A">
      <w:pPr>
        <w:spacing w:after="120"/>
        <w:rPr>
          <w:sz w:val="20"/>
          <w:szCs w:val="20"/>
        </w:rPr>
      </w:pPr>
      <w:r w:rsidRPr="008D3AA2">
        <w:rPr>
          <w:sz w:val="20"/>
          <w:szCs w:val="20"/>
        </w:rPr>
        <w:t>Budget transfers are transfers of budget funds from the following:</w:t>
      </w:r>
    </w:p>
    <w:p w:rsidR="00E970FB" w:rsidRPr="008D3AA2" w:rsidRDefault="00E970FB" w:rsidP="003D0C9A">
      <w:pPr>
        <w:pStyle w:val="ListParagraph"/>
        <w:numPr>
          <w:ilvl w:val="0"/>
          <w:numId w:val="3"/>
        </w:numPr>
        <w:spacing w:after="120"/>
        <w:rPr>
          <w:sz w:val="20"/>
          <w:szCs w:val="20"/>
        </w:rPr>
      </w:pPr>
      <w:r w:rsidRPr="008D3AA2">
        <w:rPr>
          <w:sz w:val="20"/>
          <w:szCs w:val="20"/>
        </w:rPr>
        <w:t>Within one account from one budget pool to another</w:t>
      </w:r>
    </w:p>
    <w:p w:rsidR="00E970FB" w:rsidRPr="008D3AA2" w:rsidRDefault="00E970FB" w:rsidP="003D0C9A">
      <w:pPr>
        <w:pStyle w:val="ListParagraph"/>
        <w:numPr>
          <w:ilvl w:val="0"/>
          <w:numId w:val="3"/>
        </w:numPr>
        <w:spacing w:after="120"/>
        <w:rPr>
          <w:sz w:val="20"/>
          <w:szCs w:val="20"/>
        </w:rPr>
      </w:pPr>
      <w:r w:rsidRPr="008D3AA2">
        <w:rPr>
          <w:sz w:val="20"/>
          <w:szCs w:val="20"/>
        </w:rPr>
        <w:t>From one account to another-there are some guidelines to follow on these types of transfers</w:t>
      </w:r>
    </w:p>
    <w:p w:rsidR="00E970FB" w:rsidRPr="008D3AA2" w:rsidRDefault="00E970FB" w:rsidP="003D0C9A">
      <w:pPr>
        <w:pStyle w:val="ListParagraph"/>
        <w:numPr>
          <w:ilvl w:val="1"/>
          <w:numId w:val="3"/>
        </w:numPr>
        <w:spacing w:after="120"/>
        <w:rPr>
          <w:sz w:val="20"/>
          <w:szCs w:val="20"/>
        </w:rPr>
      </w:pPr>
      <w:r w:rsidRPr="008D3AA2">
        <w:rPr>
          <w:sz w:val="20"/>
          <w:szCs w:val="20"/>
        </w:rPr>
        <w:t xml:space="preserve">Generally, transfers from accounts with the same account prefixes are appropriate because they are funded from the same source, such as State Appropriations, Designated Tuition, </w:t>
      </w:r>
    </w:p>
    <w:p w:rsidR="00E970FB" w:rsidRPr="008D3AA2" w:rsidRDefault="00E970FB" w:rsidP="003D0C9A">
      <w:pPr>
        <w:pStyle w:val="ListParagraph"/>
        <w:spacing w:after="120"/>
        <w:ind w:left="1440"/>
        <w:rPr>
          <w:sz w:val="20"/>
          <w:szCs w:val="20"/>
        </w:rPr>
      </w:pPr>
      <w:r w:rsidRPr="008D3AA2">
        <w:rPr>
          <w:sz w:val="20"/>
          <w:szCs w:val="20"/>
        </w:rPr>
        <w:t xml:space="preserve">Example:  </w:t>
      </w:r>
      <w:r w:rsidRPr="008D3AA2">
        <w:rPr>
          <w:sz w:val="20"/>
          <w:szCs w:val="20"/>
        </w:rPr>
        <w:tab/>
        <w:t>120012 to 120015</w:t>
      </w:r>
      <w:r w:rsidRPr="008D3AA2">
        <w:rPr>
          <w:sz w:val="20"/>
          <w:szCs w:val="20"/>
        </w:rPr>
        <w:tab/>
        <w:t>OK</w:t>
      </w:r>
    </w:p>
    <w:p w:rsidR="001E7A13" w:rsidRPr="008D3AA2" w:rsidRDefault="001E7A13" w:rsidP="003D0C9A">
      <w:pPr>
        <w:pStyle w:val="ListParagraph"/>
        <w:spacing w:after="120"/>
        <w:ind w:left="1440"/>
        <w:rPr>
          <w:sz w:val="20"/>
          <w:szCs w:val="20"/>
        </w:rPr>
      </w:pPr>
      <w:r w:rsidRPr="008D3AA2">
        <w:rPr>
          <w:sz w:val="20"/>
          <w:szCs w:val="20"/>
        </w:rPr>
        <w:tab/>
      </w:r>
      <w:r w:rsidRPr="008D3AA2">
        <w:rPr>
          <w:sz w:val="20"/>
          <w:szCs w:val="20"/>
        </w:rPr>
        <w:tab/>
        <w:t>120012 to 170012</w:t>
      </w:r>
      <w:r w:rsidRPr="008D3AA2">
        <w:rPr>
          <w:sz w:val="20"/>
          <w:szCs w:val="20"/>
        </w:rPr>
        <w:tab/>
        <w:t>OK</w:t>
      </w:r>
    </w:p>
    <w:p w:rsidR="003721E8" w:rsidRDefault="00E970FB" w:rsidP="003D0C9A">
      <w:pPr>
        <w:pStyle w:val="ListParagraph"/>
        <w:spacing w:after="120"/>
        <w:ind w:left="1440"/>
        <w:rPr>
          <w:sz w:val="20"/>
          <w:szCs w:val="20"/>
        </w:rPr>
      </w:pPr>
      <w:r w:rsidRPr="008D3AA2">
        <w:rPr>
          <w:sz w:val="20"/>
          <w:szCs w:val="20"/>
        </w:rPr>
        <w:tab/>
      </w:r>
      <w:r w:rsidRPr="008D3AA2">
        <w:rPr>
          <w:sz w:val="20"/>
          <w:szCs w:val="20"/>
        </w:rPr>
        <w:tab/>
        <w:t>280102 to 280105</w:t>
      </w:r>
      <w:r w:rsidRPr="008D3AA2">
        <w:rPr>
          <w:sz w:val="20"/>
          <w:szCs w:val="20"/>
        </w:rPr>
        <w:tab/>
        <w:t>OK</w:t>
      </w:r>
    </w:p>
    <w:p w:rsidR="003721E8" w:rsidRPr="003721E8" w:rsidRDefault="003721E8" w:rsidP="003721E8">
      <w:pPr>
        <w:rPr>
          <w:sz w:val="20"/>
          <w:szCs w:val="20"/>
        </w:rPr>
      </w:pPr>
      <w:r>
        <w:rPr>
          <w:sz w:val="20"/>
          <w:szCs w:val="20"/>
        </w:rPr>
        <w:t xml:space="preserve">Where can funds </w:t>
      </w:r>
      <w:proofErr w:type="gramStart"/>
      <w:r>
        <w:rPr>
          <w:sz w:val="20"/>
          <w:szCs w:val="20"/>
        </w:rPr>
        <w:t>be</w:t>
      </w:r>
      <w:proofErr w:type="gramEnd"/>
      <w:r>
        <w:rPr>
          <w:sz w:val="20"/>
          <w:szCs w:val="20"/>
        </w:rPr>
        <w:t xml:space="preserve"> transferred to and from:</w:t>
      </w:r>
    </w:p>
    <w:tbl>
      <w:tblPr>
        <w:tblStyle w:val="TableGrid"/>
        <w:tblW w:w="10735" w:type="dxa"/>
        <w:jc w:val="center"/>
        <w:tblInd w:w="151" w:type="dxa"/>
        <w:tblLook w:val="04A0"/>
      </w:tblPr>
      <w:tblGrid>
        <w:gridCol w:w="2406"/>
        <w:gridCol w:w="2317"/>
        <w:gridCol w:w="6012"/>
      </w:tblGrid>
      <w:tr w:rsidR="00213E60" w:rsidRPr="008D3AA2" w:rsidTr="00D906FC">
        <w:trPr>
          <w:jc w:val="center"/>
        </w:trPr>
        <w:tc>
          <w:tcPr>
            <w:tcW w:w="2406" w:type="dxa"/>
            <w:shd w:val="clear" w:color="auto" w:fill="CCC0D9" w:themeFill="accent4" w:themeFillTint="66"/>
          </w:tcPr>
          <w:p w:rsidR="00213E60" w:rsidRPr="008D3AA2" w:rsidRDefault="00213E60" w:rsidP="00213E60">
            <w:pPr>
              <w:jc w:val="center"/>
              <w:rPr>
                <w:b/>
                <w:sz w:val="20"/>
                <w:szCs w:val="20"/>
              </w:rPr>
            </w:pPr>
            <w:r w:rsidRPr="008D3AA2">
              <w:rPr>
                <w:b/>
                <w:sz w:val="20"/>
                <w:szCs w:val="20"/>
              </w:rPr>
              <w:t>Fund Source</w:t>
            </w:r>
          </w:p>
        </w:tc>
        <w:tc>
          <w:tcPr>
            <w:tcW w:w="2317" w:type="dxa"/>
            <w:shd w:val="clear" w:color="auto" w:fill="CCC0D9" w:themeFill="accent4" w:themeFillTint="66"/>
          </w:tcPr>
          <w:p w:rsidR="00213E60" w:rsidRPr="008D3AA2" w:rsidRDefault="00213E60" w:rsidP="00213E60">
            <w:pPr>
              <w:jc w:val="center"/>
              <w:rPr>
                <w:b/>
                <w:sz w:val="20"/>
                <w:szCs w:val="20"/>
              </w:rPr>
            </w:pPr>
            <w:r w:rsidRPr="008D3AA2">
              <w:rPr>
                <w:b/>
                <w:sz w:val="20"/>
                <w:szCs w:val="20"/>
              </w:rPr>
              <w:t>Account Sequence</w:t>
            </w:r>
          </w:p>
        </w:tc>
        <w:tc>
          <w:tcPr>
            <w:tcW w:w="6012" w:type="dxa"/>
            <w:shd w:val="clear" w:color="auto" w:fill="CCC0D9" w:themeFill="accent4" w:themeFillTint="66"/>
          </w:tcPr>
          <w:p w:rsidR="00213E60" w:rsidRPr="008D3AA2" w:rsidRDefault="00213E60" w:rsidP="00213E60">
            <w:pPr>
              <w:jc w:val="center"/>
              <w:rPr>
                <w:b/>
                <w:sz w:val="20"/>
                <w:szCs w:val="20"/>
              </w:rPr>
            </w:pPr>
            <w:r w:rsidRPr="008D3AA2">
              <w:rPr>
                <w:b/>
                <w:sz w:val="20"/>
                <w:szCs w:val="20"/>
              </w:rPr>
              <w:t>Appropriate Transfers</w:t>
            </w:r>
          </w:p>
        </w:tc>
      </w:tr>
      <w:tr w:rsidR="00213E60" w:rsidRPr="008D3AA2" w:rsidTr="00D906FC">
        <w:trPr>
          <w:jc w:val="center"/>
        </w:trPr>
        <w:tc>
          <w:tcPr>
            <w:tcW w:w="2406" w:type="dxa"/>
          </w:tcPr>
          <w:p w:rsidR="00213E60" w:rsidRPr="008D3AA2" w:rsidRDefault="00213E60" w:rsidP="00E970FB">
            <w:pPr>
              <w:rPr>
                <w:sz w:val="20"/>
                <w:szCs w:val="20"/>
              </w:rPr>
            </w:pPr>
            <w:r w:rsidRPr="008D3AA2">
              <w:rPr>
                <w:sz w:val="20"/>
                <w:szCs w:val="20"/>
              </w:rPr>
              <w:t>State Appropriations</w:t>
            </w:r>
          </w:p>
        </w:tc>
        <w:tc>
          <w:tcPr>
            <w:tcW w:w="2317" w:type="dxa"/>
          </w:tcPr>
          <w:p w:rsidR="00213E60" w:rsidRPr="008D3AA2" w:rsidRDefault="00213E60" w:rsidP="00E80994">
            <w:pPr>
              <w:jc w:val="center"/>
              <w:rPr>
                <w:sz w:val="20"/>
                <w:szCs w:val="20"/>
              </w:rPr>
            </w:pPr>
            <w:r w:rsidRPr="008D3AA2">
              <w:rPr>
                <w:sz w:val="20"/>
                <w:szCs w:val="20"/>
              </w:rPr>
              <w:t>120001-</w:t>
            </w:r>
            <w:r w:rsidR="00E80994" w:rsidRPr="008D3AA2">
              <w:rPr>
                <w:sz w:val="20"/>
                <w:szCs w:val="20"/>
              </w:rPr>
              <w:t>139999</w:t>
            </w:r>
          </w:p>
          <w:p w:rsidR="00E80994" w:rsidRPr="008D3AA2" w:rsidRDefault="00E80994" w:rsidP="00E80994">
            <w:pPr>
              <w:jc w:val="center"/>
              <w:rPr>
                <w:sz w:val="20"/>
                <w:szCs w:val="20"/>
              </w:rPr>
            </w:pPr>
            <w:r w:rsidRPr="008D3AA2">
              <w:rPr>
                <w:sz w:val="20"/>
                <w:szCs w:val="20"/>
              </w:rPr>
              <w:t>170001-189999</w:t>
            </w:r>
          </w:p>
        </w:tc>
        <w:tc>
          <w:tcPr>
            <w:tcW w:w="6012" w:type="dxa"/>
          </w:tcPr>
          <w:p w:rsidR="00213E60" w:rsidRPr="008D3AA2" w:rsidRDefault="001E7A13" w:rsidP="00E970FB">
            <w:pPr>
              <w:rPr>
                <w:sz w:val="20"/>
                <w:szCs w:val="20"/>
              </w:rPr>
            </w:pPr>
            <w:r w:rsidRPr="008D3AA2">
              <w:rPr>
                <w:sz w:val="20"/>
                <w:szCs w:val="20"/>
              </w:rPr>
              <w:t>12 to 13 and vice versa</w:t>
            </w:r>
          </w:p>
          <w:p w:rsidR="001E7A13" w:rsidRPr="008D3AA2" w:rsidRDefault="001E7A13" w:rsidP="001E7A13">
            <w:pPr>
              <w:rPr>
                <w:sz w:val="20"/>
                <w:szCs w:val="20"/>
              </w:rPr>
            </w:pPr>
            <w:r w:rsidRPr="008D3AA2">
              <w:rPr>
                <w:sz w:val="20"/>
                <w:szCs w:val="20"/>
              </w:rPr>
              <w:t>12 to 17 and vice versa</w:t>
            </w:r>
          </w:p>
          <w:p w:rsidR="001E7A13" w:rsidRPr="008D3AA2" w:rsidRDefault="001E7A13" w:rsidP="00E970FB">
            <w:pPr>
              <w:rPr>
                <w:sz w:val="20"/>
                <w:szCs w:val="20"/>
              </w:rPr>
            </w:pPr>
            <w:r w:rsidRPr="008D3AA2">
              <w:rPr>
                <w:sz w:val="20"/>
                <w:szCs w:val="20"/>
              </w:rPr>
              <w:t>12 to 18 and vice versa</w:t>
            </w:r>
          </w:p>
        </w:tc>
      </w:tr>
      <w:tr w:rsidR="001E7A13" w:rsidRPr="008D3AA2" w:rsidTr="00D906FC">
        <w:trPr>
          <w:jc w:val="center"/>
        </w:trPr>
        <w:tc>
          <w:tcPr>
            <w:tcW w:w="2406" w:type="dxa"/>
          </w:tcPr>
          <w:p w:rsidR="001E7A13" w:rsidRPr="008D3AA2" w:rsidRDefault="001E7A13" w:rsidP="00E970FB">
            <w:pPr>
              <w:rPr>
                <w:sz w:val="20"/>
                <w:szCs w:val="20"/>
              </w:rPr>
            </w:pPr>
            <w:r w:rsidRPr="008D3AA2">
              <w:rPr>
                <w:sz w:val="20"/>
                <w:szCs w:val="20"/>
              </w:rPr>
              <w:t>State Appropriations-Research Development Funds</w:t>
            </w:r>
          </w:p>
        </w:tc>
        <w:tc>
          <w:tcPr>
            <w:tcW w:w="2317" w:type="dxa"/>
          </w:tcPr>
          <w:p w:rsidR="001E7A13" w:rsidRPr="008D3AA2" w:rsidRDefault="001E7A13" w:rsidP="001E7A13">
            <w:pPr>
              <w:jc w:val="center"/>
              <w:rPr>
                <w:sz w:val="20"/>
                <w:szCs w:val="20"/>
              </w:rPr>
            </w:pPr>
            <w:r w:rsidRPr="008D3AA2">
              <w:rPr>
                <w:sz w:val="20"/>
                <w:szCs w:val="20"/>
              </w:rPr>
              <w:t>140xxx</w:t>
            </w:r>
          </w:p>
        </w:tc>
        <w:tc>
          <w:tcPr>
            <w:tcW w:w="6012" w:type="dxa"/>
          </w:tcPr>
          <w:p w:rsidR="001E7A13" w:rsidRPr="008D3AA2" w:rsidRDefault="001E7A13" w:rsidP="00E970FB">
            <w:pPr>
              <w:rPr>
                <w:sz w:val="20"/>
                <w:szCs w:val="20"/>
              </w:rPr>
            </w:pPr>
            <w:r w:rsidRPr="008D3AA2">
              <w:rPr>
                <w:sz w:val="20"/>
                <w:szCs w:val="20"/>
              </w:rPr>
              <w:t>Only to other  RDF accounts-1401xx</w:t>
            </w:r>
          </w:p>
        </w:tc>
      </w:tr>
      <w:tr w:rsidR="00213E60" w:rsidRPr="008D3AA2" w:rsidTr="00D906FC">
        <w:trPr>
          <w:jc w:val="center"/>
        </w:trPr>
        <w:tc>
          <w:tcPr>
            <w:tcW w:w="2406" w:type="dxa"/>
          </w:tcPr>
          <w:p w:rsidR="00213E60" w:rsidRPr="008D3AA2" w:rsidRDefault="00213E60" w:rsidP="00E970FB">
            <w:pPr>
              <w:rPr>
                <w:sz w:val="20"/>
                <w:szCs w:val="20"/>
              </w:rPr>
            </w:pPr>
            <w:r w:rsidRPr="008D3AA2">
              <w:rPr>
                <w:sz w:val="20"/>
                <w:szCs w:val="20"/>
              </w:rPr>
              <w:t>State Appropriations-Special Items</w:t>
            </w:r>
          </w:p>
        </w:tc>
        <w:tc>
          <w:tcPr>
            <w:tcW w:w="2317" w:type="dxa"/>
          </w:tcPr>
          <w:p w:rsidR="00213E60" w:rsidRPr="008D3AA2" w:rsidRDefault="00E80994" w:rsidP="001E7A13">
            <w:pPr>
              <w:jc w:val="center"/>
              <w:rPr>
                <w:sz w:val="20"/>
                <w:szCs w:val="20"/>
              </w:rPr>
            </w:pPr>
            <w:r w:rsidRPr="008D3AA2">
              <w:rPr>
                <w:sz w:val="20"/>
                <w:szCs w:val="20"/>
              </w:rPr>
              <w:t>16</w:t>
            </w:r>
            <w:r w:rsidR="001E7A13" w:rsidRPr="008D3AA2">
              <w:rPr>
                <w:sz w:val="20"/>
                <w:szCs w:val="20"/>
              </w:rPr>
              <w:t>01</w:t>
            </w:r>
            <w:r w:rsidRPr="008D3AA2">
              <w:rPr>
                <w:sz w:val="20"/>
                <w:szCs w:val="20"/>
              </w:rPr>
              <w:t>xx</w:t>
            </w:r>
          </w:p>
        </w:tc>
        <w:tc>
          <w:tcPr>
            <w:tcW w:w="6012" w:type="dxa"/>
          </w:tcPr>
          <w:p w:rsidR="00213E60" w:rsidRPr="008D3AA2" w:rsidRDefault="00E80994" w:rsidP="00E970FB">
            <w:pPr>
              <w:rPr>
                <w:sz w:val="20"/>
                <w:szCs w:val="20"/>
              </w:rPr>
            </w:pPr>
            <w:r w:rsidRPr="008D3AA2">
              <w:rPr>
                <w:sz w:val="20"/>
                <w:szCs w:val="20"/>
              </w:rPr>
              <w:t>Cannot be transferred out or funds transferred in.</w:t>
            </w:r>
          </w:p>
          <w:p w:rsidR="00E80994" w:rsidRPr="008D3AA2" w:rsidRDefault="00E80994" w:rsidP="00E970FB">
            <w:pPr>
              <w:rPr>
                <w:sz w:val="20"/>
                <w:szCs w:val="20"/>
              </w:rPr>
            </w:pPr>
            <w:r w:rsidRPr="008D3AA2">
              <w:rPr>
                <w:sz w:val="20"/>
                <w:szCs w:val="20"/>
              </w:rPr>
              <w:t>Funds can be transferred within account’s budget pools.</w:t>
            </w:r>
          </w:p>
        </w:tc>
      </w:tr>
      <w:tr w:rsidR="00213E60" w:rsidRPr="008D3AA2" w:rsidTr="00D906FC">
        <w:trPr>
          <w:trHeight w:val="359"/>
          <w:jc w:val="center"/>
        </w:trPr>
        <w:tc>
          <w:tcPr>
            <w:tcW w:w="2406" w:type="dxa"/>
            <w:vAlign w:val="center"/>
          </w:tcPr>
          <w:p w:rsidR="00213E60" w:rsidRPr="008D3AA2" w:rsidRDefault="00213E60" w:rsidP="00D906FC">
            <w:pPr>
              <w:rPr>
                <w:sz w:val="20"/>
                <w:szCs w:val="20"/>
              </w:rPr>
            </w:pPr>
            <w:r w:rsidRPr="008D3AA2">
              <w:rPr>
                <w:sz w:val="20"/>
                <w:szCs w:val="20"/>
              </w:rPr>
              <w:t>State Appropriations</w:t>
            </w:r>
            <w:r w:rsidR="00E80994" w:rsidRPr="008D3AA2">
              <w:rPr>
                <w:sz w:val="20"/>
                <w:szCs w:val="20"/>
              </w:rPr>
              <w:t>-HEF</w:t>
            </w:r>
          </w:p>
        </w:tc>
        <w:tc>
          <w:tcPr>
            <w:tcW w:w="2317" w:type="dxa"/>
            <w:vAlign w:val="center"/>
          </w:tcPr>
          <w:p w:rsidR="00213E60" w:rsidRPr="008D3AA2" w:rsidRDefault="00E80994" w:rsidP="00D906FC">
            <w:pPr>
              <w:jc w:val="center"/>
              <w:rPr>
                <w:sz w:val="20"/>
                <w:szCs w:val="20"/>
              </w:rPr>
            </w:pPr>
            <w:r w:rsidRPr="008D3AA2">
              <w:rPr>
                <w:sz w:val="20"/>
                <w:szCs w:val="20"/>
              </w:rPr>
              <w:t>1609xx</w:t>
            </w:r>
          </w:p>
        </w:tc>
        <w:tc>
          <w:tcPr>
            <w:tcW w:w="6012" w:type="dxa"/>
            <w:vAlign w:val="center"/>
          </w:tcPr>
          <w:p w:rsidR="00213E60" w:rsidRPr="008D3AA2" w:rsidRDefault="001E7A13" w:rsidP="00820B0B">
            <w:pPr>
              <w:rPr>
                <w:sz w:val="20"/>
                <w:szCs w:val="20"/>
              </w:rPr>
            </w:pPr>
            <w:r w:rsidRPr="008D3AA2">
              <w:rPr>
                <w:sz w:val="20"/>
                <w:szCs w:val="20"/>
              </w:rPr>
              <w:t>Transfers to other 1609xx or to 830</w:t>
            </w:r>
            <w:r w:rsidR="00820B0B">
              <w:rPr>
                <w:sz w:val="20"/>
                <w:szCs w:val="20"/>
              </w:rPr>
              <w:t>6</w:t>
            </w:r>
            <w:r w:rsidRPr="008D3AA2">
              <w:rPr>
                <w:sz w:val="20"/>
                <w:szCs w:val="20"/>
              </w:rPr>
              <w:t>xx</w:t>
            </w:r>
          </w:p>
        </w:tc>
      </w:tr>
      <w:tr w:rsidR="003D0C9A" w:rsidRPr="008D3AA2" w:rsidTr="00D906FC">
        <w:trPr>
          <w:trHeight w:val="278"/>
          <w:jc w:val="center"/>
        </w:trPr>
        <w:tc>
          <w:tcPr>
            <w:tcW w:w="2406" w:type="dxa"/>
            <w:vAlign w:val="center"/>
          </w:tcPr>
          <w:p w:rsidR="003D0C9A" w:rsidRPr="008D3AA2" w:rsidRDefault="003D0C9A" w:rsidP="00D906FC">
            <w:pPr>
              <w:rPr>
                <w:sz w:val="20"/>
                <w:szCs w:val="20"/>
              </w:rPr>
            </w:pPr>
            <w:r>
              <w:rPr>
                <w:sz w:val="20"/>
                <w:szCs w:val="20"/>
              </w:rPr>
              <w:t>IDC Funds</w:t>
            </w:r>
          </w:p>
        </w:tc>
        <w:tc>
          <w:tcPr>
            <w:tcW w:w="2317" w:type="dxa"/>
            <w:vAlign w:val="center"/>
          </w:tcPr>
          <w:p w:rsidR="003D0C9A" w:rsidRPr="008D3AA2" w:rsidRDefault="003D0C9A" w:rsidP="00D906FC">
            <w:pPr>
              <w:jc w:val="center"/>
              <w:rPr>
                <w:sz w:val="20"/>
                <w:szCs w:val="20"/>
              </w:rPr>
            </w:pPr>
            <w:r>
              <w:rPr>
                <w:sz w:val="20"/>
                <w:szCs w:val="20"/>
              </w:rPr>
              <w:t>225xxx</w:t>
            </w:r>
          </w:p>
        </w:tc>
        <w:tc>
          <w:tcPr>
            <w:tcW w:w="6012" w:type="dxa"/>
            <w:vAlign w:val="center"/>
          </w:tcPr>
          <w:p w:rsidR="003D0C9A" w:rsidRPr="008D3AA2" w:rsidRDefault="003D0C9A" w:rsidP="00D906FC">
            <w:pPr>
              <w:rPr>
                <w:sz w:val="20"/>
                <w:szCs w:val="20"/>
              </w:rPr>
            </w:pPr>
            <w:r>
              <w:rPr>
                <w:sz w:val="20"/>
                <w:szCs w:val="20"/>
              </w:rPr>
              <w:t>Transfers to other “225xxx” or IDC accounts only.</w:t>
            </w:r>
          </w:p>
        </w:tc>
      </w:tr>
      <w:tr w:rsidR="001E7A13" w:rsidRPr="008D3AA2" w:rsidTr="00D906FC">
        <w:trPr>
          <w:jc w:val="center"/>
        </w:trPr>
        <w:tc>
          <w:tcPr>
            <w:tcW w:w="2406" w:type="dxa"/>
          </w:tcPr>
          <w:p w:rsidR="001E7A13" w:rsidRPr="008D3AA2" w:rsidRDefault="001E7A13" w:rsidP="00E970FB">
            <w:pPr>
              <w:rPr>
                <w:sz w:val="20"/>
                <w:szCs w:val="20"/>
              </w:rPr>
            </w:pPr>
            <w:r w:rsidRPr="008D3AA2">
              <w:rPr>
                <w:sz w:val="20"/>
                <w:szCs w:val="20"/>
              </w:rPr>
              <w:t>Designated Tuition</w:t>
            </w:r>
          </w:p>
        </w:tc>
        <w:tc>
          <w:tcPr>
            <w:tcW w:w="2317" w:type="dxa"/>
          </w:tcPr>
          <w:p w:rsidR="001E7A13" w:rsidRPr="008D3AA2" w:rsidRDefault="001E7A13" w:rsidP="00E80994">
            <w:pPr>
              <w:jc w:val="center"/>
              <w:rPr>
                <w:sz w:val="20"/>
                <w:szCs w:val="20"/>
              </w:rPr>
            </w:pPr>
            <w:r w:rsidRPr="008D3AA2">
              <w:rPr>
                <w:sz w:val="20"/>
                <w:szCs w:val="20"/>
              </w:rPr>
              <w:t>28xxxx</w:t>
            </w:r>
          </w:p>
        </w:tc>
        <w:tc>
          <w:tcPr>
            <w:tcW w:w="6012" w:type="dxa"/>
          </w:tcPr>
          <w:p w:rsidR="001E7A13" w:rsidRPr="008D3AA2" w:rsidRDefault="001E7A13" w:rsidP="00E970FB">
            <w:pPr>
              <w:rPr>
                <w:sz w:val="20"/>
                <w:szCs w:val="20"/>
              </w:rPr>
            </w:pPr>
            <w:r w:rsidRPr="008D3AA2">
              <w:rPr>
                <w:sz w:val="20"/>
                <w:szCs w:val="20"/>
              </w:rPr>
              <w:t>Primarily to other 28xxxx accounts</w:t>
            </w:r>
          </w:p>
          <w:p w:rsidR="001E7A13" w:rsidRPr="008D3AA2" w:rsidRDefault="008D3AA2" w:rsidP="008D3AA2">
            <w:pPr>
              <w:rPr>
                <w:sz w:val="20"/>
                <w:szCs w:val="20"/>
              </w:rPr>
            </w:pPr>
            <w:r>
              <w:rPr>
                <w:sz w:val="20"/>
                <w:szCs w:val="20"/>
              </w:rPr>
              <w:t>To 3xxxxx,</w:t>
            </w:r>
            <w:r w:rsidR="001E7A13" w:rsidRPr="008D3AA2">
              <w:rPr>
                <w:sz w:val="20"/>
                <w:szCs w:val="20"/>
              </w:rPr>
              <w:t xml:space="preserve"> 4xxxxx</w:t>
            </w:r>
            <w:r>
              <w:rPr>
                <w:sz w:val="20"/>
                <w:szCs w:val="20"/>
              </w:rPr>
              <w:t xml:space="preserve"> or 830xxx</w:t>
            </w:r>
            <w:r w:rsidR="001E7A13" w:rsidRPr="008D3AA2">
              <w:rPr>
                <w:sz w:val="20"/>
                <w:szCs w:val="20"/>
              </w:rPr>
              <w:t xml:space="preserve"> with appropriate approvals.</w:t>
            </w:r>
          </w:p>
        </w:tc>
      </w:tr>
      <w:tr w:rsidR="00820B0B" w:rsidRPr="008D3AA2" w:rsidTr="00D906FC">
        <w:trPr>
          <w:jc w:val="center"/>
        </w:trPr>
        <w:tc>
          <w:tcPr>
            <w:tcW w:w="2406" w:type="dxa"/>
          </w:tcPr>
          <w:p w:rsidR="00820B0B" w:rsidRPr="008D3AA2" w:rsidRDefault="00820B0B" w:rsidP="00E970FB">
            <w:pPr>
              <w:rPr>
                <w:sz w:val="20"/>
                <w:szCs w:val="20"/>
              </w:rPr>
            </w:pPr>
            <w:r>
              <w:rPr>
                <w:sz w:val="20"/>
                <w:szCs w:val="20"/>
              </w:rPr>
              <w:t>Course Fee Accounts</w:t>
            </w:r>
          </w:p>
        </w:tc>
        <w:tc>
          <w:tcPr>
            <w:tcW w:w="2317" w:type="dxa"/>
          </w:tcPr>
          <w:p w:rsidR="00820B0B" w:rsidRPr="008D3AA2" w:rsidRDefault="00820B0B" w:rsidP="00E80994">
            <w:pPr>
              <w:jc w:val="center"/>
              <w:rPr>
                <w:sz w:val="20"/>
                <w:szCs w:val="20"/>
              </w:rPr>
            </w:pPr>
            <w:r>
              <w:rPr>
                <w:sz w:val="20"/>
                <w:szCs w:val="20"/>
              </w:rPr>
              <w:t>2xxxxx</w:t>
            </w:r>
          </w:p>
        </w:tc>
        <w:tc>
          <w:tcPr>
            <w:tcW w:w="6012" w:type="dxa"/>
          </w:tcPr>
          <w:p w:rsidR="00820B0B" w:rsidRDefault="00820B0B" w:rsidP="00E970FB">
            <w:pPr>
              <w:rPr>
                <w:sz w:val="20"/>
                <w:szCs w:val="20"/>
              </w:rPr>
            </w:pPr>
            <w:r>
              <w:rPr>
                <w:sz w:val="20"/>
                <w:szCs w:val="20"/>
              </w:rPr>
              <w:t>Accounts that have “Fee” in title</w:t>
            </w:r>
          </w:p>
          <w:p w:rsidR="00820B0B" w:rsidRPr="008D3AA2" w:rsidRDefault="00820B0B" w:rsidP="00E970FB">
            <w:pPr>
              <w:rPr>
                <w:sz w:val="20"/>
                <w:szCs w:val="20"/>
              </w:rPr>
            </w:pPr>
            <w:r>
              <w:rPr>
                <w:sz w:val="20"/>
                <w:szCs w:val="20"/>
              </w:rPr>
              <w:t>No transfers to other accounts without appropriate approvals.</w:t>
            </w:r>
          </w:p>
        </w:tc>
      </w:tr>
      <w:tr w:rsidR="001E7A13" w:rsidRPr="008D3AA2" w:rsidTr="00D906FC">
        <w:trPr>
          <w:jc w:val="center"/>
        </w:trPr>
        <w:tc>
          <w:tcPr>
            <w:tcW w:w="2406" w:type="dxa"/>
          </w:tcPr>
          <w:p w:rsidR="001E7A13" w:rsidRPr="008D3AA2" w:rsidRDefault="001E7A13" w:rsidP="00E970FB">
            <w:pPr>
              <w:rPr>
                <w:sz w:val="20"/>
                <w:szCs w:val="20"/>
              </w:rPr>
            </w:pPr>
            <w:r w:rsidRPr="008D3AA2">
              <w:rPr>
                <w:sz w:val="20"/>
                <w:szCs w:val="20"/>
              </w:rPr>
              <w:t>Auxiliaries</w:t>
            </w:r>
          </w:p>
        </w:tc>
        <w:tc>
          <w:tcPr>
            <w:tcW w:w="2317" w:type="dxa"/>
          </w:tcPr>
          <w:p w:rsidR="001E7A13" w:rsidRPr="008D3AA2" w:rsidRDefault="001E7A13" w:rsidP="00E80994">
            <w:pPr>
              <w:jc w:val="center"/>
              <w:rPr>
                <w:sz w:val="20"/>
                <w:szCs w:val="20"/>
              </w:rPr>
            </w:pPr>
            <w:r w:rsidRPr="008D3AA2">
              <w:rPr>
                <w:sz w:val="20"/>
                <w:szCs w:val="20"/>
              </w:rPr>
              <w:t>3xxxxx</w:t>
            </w:r>
          </w:p>
        </w:tc>
        <w:tc>
          <w:tcPr>
            <w:tcW w:w="6012" w:type="dxa"/>
          </w:tcPr>
          <w:p w:rsidR="001E7A13" w:rsidRPr="008D3AA2" w:rsidRDefault="001E7A13" w:rsidP="00E970FB">
            <w:pPr>
              <w:rPr>
                <w:sz w:val="20"/>
                <w:szCs w:val="20"/>
              </w:rPr>
            </w:pPr>
            <w:r w:rsidRPr="008D3AA2">
              <w:rPr>
                <w:sz w:val="20"/>
                <w:szCs w:val="20"/>
              </w:rPr>
              <w:t>Primarily only to accounts funded from same sources or with same functions.</w:t>
            </w:r>
          </w:p>
        </w:tc>
      </w:tr>
      <w:tr w:rsidR="001E7A13" w:rsidRPr="008D3AA2" w:rsidTr="00D906FC">
        <w:trPr>
          <w:trHeight w:val="377"/>
          <w:jc w:val="center"/>
        </w:trPr>
        <w:tc>
          <w:tcPr>
            <w:tcW w:w="2406" w:type="dxa"/>
            <w:vAlign w:val="center"/>
          </w:tcPr>
          <w:p w:rsidR="001E7A13" w:rsidRPr="008D3AA2" w:rsidRDefault="001E7A13" w:rsidP="00D906FC">
            <w:pPr>
              <w:rPr>
                <w:sz w:val="20"/>
                <w:szCs w:val="20"/>
              </w:rPr>
            </w:pPr>
            <w:r w:rsidRPr="008D3AA2">
              <w:rPr>
                <w:sz w:val="20"/>
                <w:szCs w:val="20"/>
              </w:rPr>
              <w:t>Scholarships</w:t>
            </w:r>
          </w:p>
        </w:tc>
        <w:tc>
          <w:tcPr>
            <w:tcW w:w="2317" w:type="dxa"/>
            <w:vAlign w:val="center"/>
          </w:tcPr>
          <w:p w:rsidR="001E7A13" w:rsidRPr="008D3AA2" w:rsidRDefault="001E7A13" w:rsidP="00D906FC">
            <w:pPr>
              <w:jc w:val="center"/>
              <w:rPr>
                <w:sz w:val="20"/>
                <w:szCs w:val="20"/>
              </w:rPr>
            </w:pPr>
            <w:r w:rsidRPr="008D3AA2">
              <w:rPr>
                <w:sz w:val="20"/>
                <w:szCs w:val="20"/>
              </w:rPr>
              <w:t>4xxxxx</w:t>
            </w:r>
          </w:p>
        </w:tc>
        <w:tc>
          <w:tcPr>
            <w:tcW w:w="6012" w:type="dxa"/>
            <w:vAlign w:val="center"/>
          </w:tcPr>
          <w:p w:rsidR="001E7A13" w:rsidRPr="008D3AA2" w:rsidRDefault="001E7A13" w:rsidP="00D906FC">
            <w:pPr>
              <w:rPr>
                <w:sz w:val="20"/>
                <w:szCs w:val="20"/>
              </w:rPr>
            </w:pPr>
            <w:r w:rsidRPr="008D3AA2">
              <w:rPr>
                <w:sz w:val="20"/>
                <w:szCs w:val="20"/>
              </w:rPr>
              <w:t>Transfers only upon appropriate approvals.</w:t>
            </w:r>
          </w:p>
        </w:tc>
      </w:tr>
      <w:tr w:rsidR="001E7A13" w:rsidRPr="008D3AA2" w:rsidTr="00D906FC">
        <w:trPr>
          <w:jc w:val="center"/>
        </w:trPr>
        <w:tc>
          <w:tcPr>
            <w:tcW w:w="2406" w:type="dxa"/>
          </w:tcPr>
          <w:p w:rsidR="001E7A13" w:rsidRPr="008D3AA2" w:rsidRDefault="001E7A13" w:rsidP="00E970FB">
            <w:pPr>
              <w:rPr>
                <w:sz w:val="20"/>
                <w:szCs w:val="20"/>
              </w:rPr>
            </w:pPr>
            <w:r w:rsidRPr="008D3AA2">
              <w:rPr>
                <w:sz w:val="20"/>
                <w:szCs w:val="20"/>
              </w:rPr>
              <w:t>Grants and Contracts</w:t>
            </w:r>
          </w:p>
        </w:tc>
        <w:tc>
          <w:tcPr>
            <w:tcW w:w="2317" w:type="dxa"/>
          </w:tcPr>
          <w:p w:rsidR="001E7A13" w:rsidRPr="008D3AA2" w:rsidRDefault="001E7A13" w:rsidP="00E80994">
            <w:pPr>
              <w:jc w:val="center"/>
              <w:rPr>
                <w:sz w:val="20"/>
                <w:szCs w:val="20"/>
              </w:rPr>
            </w:pPr>
            <w:r w:rsidRPr="008D3AA2">
              <w:rPr>
                <w:sz w:val="20"/>
                <w:szCs w:val="20"/>
              </w:rPr>
              <w:t>6xxxxx</w:t>
            </w:r>
          </w:p>
        </w:tc>
        <w:tc>
          <w:tcPr>
            <w:tcW w:w="6012" w:type="dxa"/>
          </w:tcPr>
          <w:p w:rsidR="001E7A13" w:rsidRPr="008D3AA2" w:rsidRDefault="001E7A13" w:rsidP="00E970FB">
            <w:pPr>
              <w:rPr>
                <w:sz w:val="20"/>
                <w:szCs w:val="20"/>
              </w:rPr>
            </w:pPr>
            <w:r w:rsidRPr="008D3AA2">
              <w:rPr>
                <w:sz w:val="20"/>
                <w:szCs w:val="20"/>
              </w:rPr>
              <w:t>Grants account transfers require approval from Grants office.  Contracts account transfers can be made if within contract agreements.</w:t>
            </w:r>
          </w:p>
        </w:tc>
      </w:tr>
      <w:tr w:rsidR="003D0C9A" w:rsidRPr="008D3AA2" w:rsidTr="00D906FC">
        <w:trPr>
          <w:jc w:val="center"/>
        </w:trPr>
        <w:tc>
          <w:tcPr>
            <w:tcW w:w="2406" w:type="dxa"/>
          </w:tcPr>
          <w:p w:rsidR="003D0C9A" w:rsidRPr="008D3AA2" w:rsidRDefault="003D0C9A" w:rsidP="00E970FB">
            <w:pPr>
              <w:rPr>
                <w:sz w:val="20"/>
                <w:szCs w:val="20"/>
              </w:rPr>
            </w:pPr>
            <w:r>
              <w:rPr>
                <w:sz w:val="20"/>
                <w:szCs w:val="20"/>
              </w:rPr>
              <w:t>Gift Accounts</w:t>
            </w:r>
          </w:p>
        </w:tc>
        <w:tc>
          <w:tcPr>
            <w:tcW w:w="2317" w:type="dxa"/>
          </w:tcPr>
          <w:p w:rsidR="003D0C9A" w:rsidRPr="008D3AA2" w:rsidRDefault="003D0C9A" w:rsidP="003D0C9A">
            <w:pPr>
              <w:jc w:val="center"/>
              <w:rPr>
                <w:sz w:val="20"/>
                <w:szCs w:val="20"/>
              </w:rPr>
            </w:pPr>
            <w:r>
              <w:rPr>
                <w:sz w:val="20"/>
                <w:szCs w:val="20"/>
              </w:rPr>
              <w:t>2xxxxx, 4xxxxx, 6xxxxx</w:t>
            </w:r>
          </w:p>
        </w:tc>
        <w:tc>
          <w:tcPr>
            <w:tcW w:w="6012" w:type="dxa"/>
          </w:tcPr>
          <w:p w:rsidR="003D0C9A" w:rsidRPr="008D3AA2" w:rsidRDefault="003D0C9A" w:rsidP="00E970FB">
            <w:pPr>
              <w:rPr>
                <w:sz w:val="20"/>
                <w:szCs w:val="20"/>
              </w:rPr>
            </w:pPr>
            <w:r>
              <w:rPr>
                <w:sz w:val="20"/>
                <w:szCs w:val="20"/>
              </w:rPr>
              <w:t>Gift funds are usually restricted.  Transfers require appropriate approvals.</w:t>
            </w:r>
          </w:p>
        </w:tc>
      </w:tr>
      <w:tr w:rsidR="001E7A13" w:rsidRPr="008D3AA2" w:rsidTr="00D906FC">
        <w:trPr>
          <w:trHeight w:val="314"/>
          <w:jc w:val="center"/>
        </w:trPr>
        <w:tc>
          <w:tcPr>
            <w:tcW w:w="2406" w:type="dxa"/>
          </w:tcPr>
          <w:p w:rsidR="001E7A13" w:rsidRPr="008D3AA2" w:rsidRDefault="001E7A13" w:rsidP="00E970FB">
            <w:pPr>
              <w:rPr>
                <w:sz w:val="20"/>
                <w:szCs w:val="20"/>
              </w:rPr>
            </w:pPr>
            <w:r w:rsidRPr="008D3AA2">
              <w:rPr>
                <w:sz w:val="20"/>
                <w:szCs w:val="20"/>
              </w:rPr>
              <w:t>Construction Accounts</w:t>
            </w:r>
          </w:p>
        </w:tc>
        <w:tc>
          <w:tcPr>
            <w:tcW w:w="2317" w:type="dxa"/>
          </w:tcPr>
          <w:p w:rsidR="001E7A13" w:rsidRPr="008D3AA2" w:rsidRDefault="001E7A13" w:rsidP="00E80994">
            <w:pPr>
              <w:jc w:val="center"/>
              <w:rPr>
                <w:sz w:val="20"/>
                <w:szCs w:val="20"/>
              </w:rPr>
            </w:pPr>
            <w:r w:rsidRPr="008D3AA2">
              <w:rPr>
                <w:sz w:val="20"/>
                <w:szCs w:val="20"/>
              </w:rPr>
              <w:t>830xxx</w:t>
            </w:r>
          </w:p>
        </w:tc>
        <w:tc>
          <w:tcPr>
            <w:tcW w:w="6012" w:type="dxa"/>
          </w:tcPr>
          <w:p w:rsidR="001E7A13" w:rsidRPr="008D3AA2" w:rsidRDefault="003D0C9A" w:rsidP="00E970FB">
            <w:pPr>
              <w:rPr>
                <w:sz w:val="20"/>
                <w:szCs w:val="20"/>
              </w:rPr>
            </w:pPr>
            <w:r>
              <w:rPr>
                <w:sz w:val="20"/>
                <w:szCs w:val="20"/>
              </w:rPr>
              <w:t>Transfers only upon appropriate approvals.</w:t>
            </w:r>
          </w:p>
        </w:tc>
      </w:tr>
    </w:tbl>
    <w:p w:rsidR="003D0C9A" w:rsidRPr="003D0C9A" w:rsidRDefault="003D0C9A" w:rsidP="008D3AA2">
      <w:pPr>
        <w:spacing w:after="0"/>
        <w:rPr>
          <w:sz w:val="16"/>
        </w:rPr>
      </w:pPr>
    </w:p>
    <w:p w:rsidR="008D3AA2" w:rsidRPr="003D0C9A" w:rsidRDefault="008D3AA2" w:rsidP="008D3AA2">
      <w:pPr>
        <w:spacing w:after="0"/>
        <w:rPr>
          <w:sz w:val="20"/>
          <w:szCs w:val="20"/>
        </w:rPr>
      </w:pPr>
      <w:r w:rsidRPr="003D0C9A">
        <w:rPr>
          <w:sz w:val="20"/>
          <w:szCs w:val="20"/>
        </w:rPr>
        <w:t>Who can initiate Budget Transfers?</w:t>
      </w:r>
    </w:p>
    <w:p w:rsidR="003721E8" w:rsidRPr="003D0C9A" w:rsidRDefault="003721E8" w:rsidP="003D0C9A">
      <w:pPr>
        <w:spacing w:after="0"/>
        <w:rPr>
          <w:sz w:val="20"/>
          <w:szCs w:val="20"/>
        </w:rPr>
        <w:sectPr w:rsidR="003721E8" w:rsidRPr="003D0C9A" w:rsidSect="00D906FC">
          <w:headerReference w:type="even" r:id="rId7"/>
          <w:headerReference w:type="default" r:id="rId8"/>
          <w:footerReference w:type="even" r:id="rId9"/>
          <w:footerReference w:type="default" r:id="rId10"/>
          <w:headerReference w:type="first" r:id="rId11"/>
          <w:footerReference w:type="first" r:id="rId12"/>
          <w:pgSz w:w="12240" w:h="15840"/>
          <w:pgMar w:top="852" w:right="630" w:bottom="576" w:left="720" w:header="360" w:footer="720" w:gutter="0"/>
          <w:cols w:space="720"/>
          <w:docGrid w:linePitch="360"/>
        </w:sectPr>
      </w:pPr>
    </w:p>
    <w:p w:rsidR="008D3AA2" w:rsidRPr="003D0C9A" w:rsidRDefault="008D3AA2" w:rsidP="003D0C9A">
      <w:pPr>
        <w:pStyle w:val="ListParagraph"/>
        <w:numPr>
          <w:ilvl w:val="0"/>
          <w:numId w:val="10"/>
        </w:numPr>
        <w:spacing w:after="0"/>
        <w:rPr>
          <w:sz w:val="20"/>
          <w:szCs w:val="20"/>
        </w:rPr>
      </w:pPr>
      <w:r w:rsidRPr="003D0C9A">
        <w:rPr>
          <w:sz w:val="20"/>
          <w:szCs w:val="20"/>
        </w:rPr>
        <w:lastRenderedPageBreak/>
        <w:t>Account Responsible Manager</w:t>
      </w:r>
    </w:p>
    <w:p w:rsidR="008D3AA2" w:rsidRPr="003D0C9A" w:rsidRDefault="008D3AA2" w:rsidP="003D0C9A">
      <w:pPr>
        <w:pStyle w:val="ListParagraph"/>
        <w:numPr>
          <w:ilvl w:val="0"/>
          <w:numId w:val="10"/>
        </w:numPr>
        <w:spacing w:after="0"/>
        <w:rPr>
          <w:sz w:val="20"/>
          <w:szCs w:val="20"/>
        </w:rPr>
      </w:pPr>
      <w:r w:rsidRPr="003D0C9A">
        <w:rPr>
          <w:sz w:val="20"/>
          <w:szCs w:val="20"/>
        </w:rPr>
        <w:t>Business Coordinators</w:t>
      </w:r>
    </w:p>
    <w:p w:rsidR="008D3AA2" w:rsidRPr="003D0C9A" w:rsidRDefault="008D3AA2" w:rsidP="003D0C9A">
      <w:pPr>
        <w:pStyle w:val="ListParagraph"/>
        <w:numPr>
          <w:ilvl w:val="0"/>
          <w:numId w:val="10"/>
        </w:numPr>
        <w:spacing w:after="0"/>
        <w:rPr>
          <w:sz w:val="20"/>
          <w:szCs w:val="20"/>
        </w:rPr>
      </w:pPr>
      <w:r w:rsidRPr="003D0C9A">
        <w:rPr>
          <w:sz w:val="20"/>
          <w:szCs w:val="20"/>
        </w:rPr>
        <w:t>Dean’s</w:t>
      </w:r>
    </w:p>
    <w:p w:rsidR="008D3AA2" w:rsidRPr="003D0C9A" w:rsidRDefault="008D3AA2" w:rsidP="008D3AA2">
      <w:pPr>
        <w:pStyle w:val="ListParagraph"/>
        <w:numPr>
          <w:ilvl w:val="0"/>
          <w:numId w:val="9"/>
        </w:numPr>
        <w:spacing w:after="0"/>
        <w:rPr>
          <w:sz w:val="20"/>
          <w:szCs w:val="20"/>
        </w:rPr>
      </w:pPr>
      <w:r w:rsidRPr="003D0C9A">
        <w:rPr>
          <w:sz w:val="20"/>
          <w:szCs w:val="20"/>
        </w:rPr>
        <w:lastRenderedPageBreak/>
        <w:t>VP’s</w:t>
      </w:r>
    </w:p>
    <w:p w:rsidR="008D3AA2" w:rsidRPr="003D0C9A" w:rsidRDefault="008D3AA2" w:rsidP="008D3AA2">
      <w:pPr>
        <w:pStyle w:val="ListParagraph"/>
        <w:numPr>
          <w:ilvl w:val="0"/>
          <w:numId w:val="9"/>
        </w:numPr>
        <w:spacing w:after="0"/>
        <w:rPr>
          <w:sz w:val="20"/>
          <w:szCs w:val="20"/>
        </w:rPr>
      </w:pPr>
      <w:r w:rsidRPr="003D0C9A">
        <w:rPr>
          <w:sz w:val="20"/>
          <w:szCs w:val="20"/>
        </w:rPr>
        <w:t>Budget Office</w:t>
      </w:r>
    </w:p>
    <w:p w:rsidR="003721E8" w:rsidRPr="003D0C9A" w:rsidRDefault="003721E8" w:rsidP="008D3AA2">
      <w:pPr>
        <w:spacing w:after="0"/>
        <w:rPr>
          <w:sz w:val="20"/>
          <w:szCs w:val="20"/>
        </w:rPr>
        <w:sectPr w:rsidR="003721E8" w:rsidRPr="003D0C9A" w:rsidSect="00D906FC">
          <w:type w:val="continuous"/>
          <w:pgSz w:w="12240" w:h="15840"/>
          <w:pgMar w:top="852" w:right="720" w:bottom="720" w:left="720" w:header="360" w:footer="720" w:gutter="0"/>
          <w:cols w:num="2" w:space="720"/>
          <w:docGrid w:linePitch="360"/>
        </w:sectPr>
      </w:pPr>
    </w:p>
    <w:p w:rsidR="008D3AA2" w:rsidRPr="003D0C9A" w:rsidRDefault="008D3AA2" w:rsidP="008D3AA2">
      <w:pPr>
        <w:spacing w:after="0"/>
        <w:rPr>
          <w:sz w:val="20"/>
          <w:szCs w:val="20"/>
        </w:rPr>
      </w:pPr>
    </w:p>
    <w:p w:rsidR="008D3AA2" w:rsidRPr="003D0C9A" w:rsidRDefault="008D3AA2" w:rsidP="008D3AA2">
      <w:pPr>
        <w:spacing w:after="0"/>
        <w:rPr>
          <w:sz w:val="20"/>
          <w:szCs w:val="20"/>
        </w:rPr>
      </w:pPr>
      <w:r w:rsidRPr="003D0C9A">
        <w:rPr>
          <w:sz w:val="20"/>
          <w:szCs w:val="20"/>
        </w:rPr>
        <w:t>When should a Budget Transfer be initiated?</w:t>
      </w:r>
    </w:p>
    <w:p w:rsidR="008D3AA2" w:rsidRPr="003D0C9A" w:rsidRDefault="008D3AA2" w:rsidP="008D3AA2">
      <w:pPr>
        <w:pStyle w:val="ListParagraph"/>
        <w:numPr>
          <w:ilvl w:val="0"/>
          <w:numId w:val="8"/>
        </w:numPr>
        <w:spacing w:after="0"/>
        <w:rPr>
          <w:sz w:val="20"/>
          <w:szCs w:val="20"/>
        </w:rPr>
      </w:pPr>
      <w:r w:rsidRPr="003D0C9A">
        <w:rPr>
          <w:sz w:val="20"/>
          <w:szCs w:val="20"/>
        </w:rPr>
        <w:t>To budget by pool or category within an account.  This will make the account much easier to review and analyze.</w:t>
      </w:r>
    </w:p>
    <w:p w:rsidR="008D3AA2" w:rsidRPr="003D0C9A" w:rsidRDefault="008D3AA2" w:rsidP="008D3AA2">
      <w:pPr>
        <w:pStyle w:val="ListParagraph"/>
        <w:numPr>
          <w:ilvl w:val="0"/>
          <w:numId w:val="8"/>
        </w:numPr>
        <w:spacing w:after="0"/>
        <w:rPr>
          <w:sz w:val="20"/>
          <w:szCs w:val="20"/>
        </w:rPr>
      </w:pPr>
      <w:r w:rsidRPr="003D0C9A">
        <w:rPr>
          <w:sz w:val="20"/>
          <w:szCs w:val="20"/>
        </w:rPr>
        <w:t>To transfer funds upon approval from one account to another.  Account managers should analyze available funds and planned expenditures.  Expenditures can be moved, if appropriate, from one account to another instead of mixing funds from different sources if the function or primary purpose is the same for both accounts.</w:t>
      </w:r>
    </w:p>
    <w:p w:rsidR="008D3AA2" w:rsidRPr="003D0C9A" w:rsidRDefault="008D3AA2" w:rsidP="008D3AA2">
      <w:pPr>
        <w:spacing w:after="0"/>
        <w:rPr>
          <w:sz w:val="20"/>
          <w:szCs w:val="20"/>
        </w:rPr>
      </w:pPr>
    </w:p>
    <w:p w:rsidR="008D3AA2" w:rsidRPr="003D0C9A" w:rsidRDefault="008D3AA2" w:rsidP="008D3AA2">
      <w:pPr>
        <w:spacing w:after="0"/>
        <w:rPr>
          <w:sz w:val="20"/>
          <w:szCs w:val="20"/>
        </w:rPr>
      </w:pPr>
      <w:r w:rsidRPr="003D0C9A">
        <w:rPr>
          <w:sz w:val="20"/>
          <w:szCs w:val="20"/>
        </w:rPr>
        <w:t>How can a Budget Transfer be accomplished?</w:t>
      </w:r>
    </w:p>
    <w:p w:rsidR="008D3AA2" w:rsidRPr="003D0C9A" w:rsidRDefault="008D3AA2" w:rsidP="008D3AA2">
      <w:pPr>
        <w:pStyle w:val="ListParagraph"/>
        <w:numPr>
          <w:ilvl w:val="0"/>
          <w:numId w:val="7"/>
        </w:numPr>
        <w:spacing w:after="0"/>
        <w:rPr>
          <w:sz w:val="20"/>
          <w:szCs w:val="20"/>
        </w:rPr>
      </w:pPr>
      <w:r w:rsidRPr="003D0C9A">
        <w:rPr>
          <w:sz w:val="20"/>
          <w:szCs w:val="20"/>
        </w:rPr>
        <w:t>Department can initiate a transfer using the DBR module.  This will be routed for appropriate review and approvals.</w:t>
      </w:r>
    </w:p>
    <w:p w:rsidR="008D3AA2" w:rsidRPr="003D0C9A" w:rsidRDefault="008D3AA2" w:rsidP="008D3AA2">
      <w:pPr>
        <w:pStyle w:val="ListParagraph"/>
        <w:numPr>
          <w:ilvl w:val="0"/>
          <w:numId w:val="7"/>
        </w:numPr>
        <w:rPr>
          <w:sz w:val="20"/>
          <w:szCs w:val="20"/>
        </w:rPr>
      </w:pPr>
      <w:r w:rsidRPr="003D0C9A">
        <w:rPr>
          <w:sz w:val="20"/>
          <w:szCs w:val="20"/>
        </w:rPr>
        <w:t>Complete a budget transfer form and submit it to the Budget Office for approval and processing.</w:t>
      </w:r>
    </w:p>
    <w:sectPr w:rsidR="008D3AA2" w:rsidRPr="003D0C9A" w:rsidSect="00D906FC">
      <w:type w:val="continuous"/>
      <w:pgSz w:w="12240" w:h="15840"/>
      <w:pgMar w:top="852"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9A" w:rsidRDefault="003D0C9A" w:rsidP="008D3AA2">
      <w:pPr>
        <w:spacing w:after="0" w:line="240" w:lineRule="auto"/>
      </w:pPr>
      <w:r>
        <w:separator/>
      </w:r>
    </w:p>
  </w:endnote>
  <w:endnote w:type="continuationSeparator" w:id="0">
    <w:p w:rsidR="003D0C9A" w:rsidRDefault="003D0C9A" w:rsidP="008D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A" w:rsidRDefault="003D0C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A" w:rsidRDefault="003D0C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A" w:rsidRDefault="003D0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9A" w:rsidRDefault="003D0C9A" w:rsidP="008D3AA2">
      <w:pPr>
        <w:spacing w:after="0" w:line="240" w:lineRule="auto"/>
      </w:pPr>
      <w:r>
        <w:separator/>
      </w:r>
    </w:p>
  </w:footnote>
  <w:footnote w:type="continuationSeparator" w:id="0">
    <w:p w:rsidR="003D0C9A" w:rsidRDefault="003D0C9A" w:rsidP="008D3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A" w:rsidRDefault="003D0C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A" w:rsidRPr="003721E8" w:rsidRDefault="003D0C9A" w:rsidP="003721E8">
    <w:pPr>
      <w:pBdr>
        <w:bottom w:val="single" w:sz="4" w:space="1" w:color="auto"/>
      </w:pBdr>
      <w:jc w:val="center"/>
      <w:rPr>
        <w:b/>
        <w:sz w:val="40"/>
      </w:rPr>
    </w:pPr>
    <w:r w:rsidRPr="003721E8">
      <w:rPr>
        <w:b/>
        <w:sz w:val="36"/>
        <w:szCs w:val="20"/>
      </w:rPr>
      <w:t>What is a Budget Transfer - When, Who, Where, and How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A" w:rsidRDefault="003D0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3C9"/>
    <w:multiLevelType w:val="hybridMultilevel"/>
    <w:tmpl w:val="DCC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73B82"/>
    <w:multiLevelType w:val="hybridMultilevel"/>
    <w:tmpl w:val="592EB2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3A5128"/>
    <w:multiLevelType w:val="hybridMultilevel"/>
    <w:tmpl w:val="7496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116E6"/>
    <w:multiLevelType w:val="hybridMultilevel"/>
    <w:tmpl w:val="B85AE6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24A08"/>
    <w:multiLevelType w:val="hybridMultilevel"/>
    <w:tmpl w:val="AA8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C7A29"/>
    <w:multiLevelType w:val="hybridMultilevel"/>
    <w:tmpl w:val="750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F6D90"/>
    <w:multiLevelType w:val="hybridMultilevel"/>
    <w:tmpl w:val="541058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77B43"/>
    <w:multiLevelType w:val="hybridMultilevel"/>
    <w:tmpl w:val="12F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D269B"/>
    <w:multiLevelType w:val="hybridMultilevel"/>
    <w:tmpl w:val="820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C2BA3"/>
    <w:multiLevelType w:val="hybridMultilevel"/>
    <w:tmpl w:val="B0C0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2"/>
  </w:num>
  <w:num w:numId="6">
    <w:abstractNumId w:val="4"/>
  </w:num>
  <w:num w:numId="7">
    <w:abstractNumId w:val="0"/>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3BAC"/>
    <w:rsid w:val="000D10F1"/>
    <w:rsid w:val="001E7A13"/>
    <w:rsid w:val="00213E60"/>
    <w:rsid w:val="002200DA"/>
    <w:rsid w:val="00245407"/>
    <w:rsid w:val="002C79A4"/>
    <w:rsid w:val="003545F1"/>
    <w:rsid w:val="003721E8"/>
    <w:rsid w:val="0037611A"/>
    <w:rsid w:val="003828D2"/>
    <w:rsid w:val="003D0C9A"/>
    <w:rsid w:val="00513112"/>
    <w:rsid w:val="00717DCE"/>
    <w:rsid w:val="00820B0B"/>
    <w:rsid w:val="008B3BAC"/>
    <w:rsid w:val="008D3AA2"/>
    <w:rsid w:val="00964A49"/>
    <w:rsid w:val="009827CB"/>
    <w:rsid w:val="00AC446B"/>
    <w:rsid w:val="00BB599C"/>
    <w:rsid w:val="00D906FC"/>
    <w:rsid w:val="00E80994"/>
    <w:rsid w:val="00E970FB"/>
    <w:rsid w:val="00FA2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3BAC"/>
    <w:pPr>
      <w:ind w:left="720"/>
      <w:contextualSpacing/>
    </w:pPr>
  </w:style>
  <w:style w:type="paragraph" w:styleId="Header">
    <w:name w:val="header"/>
    <w:basedOn w:val="Normal"/>
    <w:link w:val="HeaderChar"/>
    <w:uiPriority w:val="99"/>
    <w:semiHidden/>
    <w:unhideWhenUsed/>
    <w:rsid w:val="008D3A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AA2"/>
  </w:style>
  <w:style w:type="paragraph" w:styleId="Footer">
    <w:name w:val="footer"/>
    <w:basedOn w:val="Normal"/>
    <w:link w:val="FooterChar"/>
    <w:uiPriority w:val="99"/>
    <w:semiHidden/>
    <w:unhideWhenUsed/>
    <w:rsid w:val="008D3A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A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kwedgeworth</dc:creator>
  <cp:keywords/>
  <dc:description/>
  <cp:lastModifiedBy>kwedgeworth</cp:lastModifiedBy>
  <cp:revision>5</cp:revision>
  <cp:lastPrinted>2009-09-22T23:50:00Z</cp:lastPrinted>
  <dcterms:created xsi:type="dcterms:W3CDTF">2009-09-22T23:51:00Z</dcterms:created>
  <dcterms:modified xsi:type="dcterms:W3CDTF">2009-10-09T16:55:00Z</dcterms:modified>
</cp:coreProperties>
</file>