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15" w:rsidRPr="00DE3B07" w:rsidRDefault="00894E15" w:rsidP="00894E15">
      <w:pPr>
        <w:spacing w:after="0" w:line="240" w:lineRule="auto"/>
        <w:rPr>
          <w:rFonts w:eastAsia="Times New Roman" w:cstheme="minorHAnsi"/>
          <w:sz w:val="20"/>
          <w:szCs w:val="24"/>
        </w:rPr>
      </w:pPr>
      <w:bookmarkStart w:id="0" w:name="_GoBack"/>
      <w:bookmarkEnd w:id="0"/>
      <w:r w:rsidRPr="00DE3B07">
        <w:rPr>
          <w:rFonts w:eastAsia="Times New Roman" w:cstheme="minorHAnsi"/>
          <w:sz w:val="20"/>
          <w:szCs w:val="24"/>
        </w:rPr>
        <w:t>Chapter 4, §4.103(9) of Texas Higher Education Coordinating Board Rules defines a distance education course as a "…course in which the majority of the instruction occurs when the students and the instructor are not in the same physical setting. A course is considered to be offered by distance education if students receive more than one-half of the instruction at a differen</w:t>
      </w:r>
      <w:r w:rsidR="005A794C" w:rsidRPr="00DE3B07">
        <w:rPr>
          <w:rFonts w:eastAsia="Times New Roman" w:cstheme="minorHAnsi"/>
          <w:sz w:val="20"/>
          <w:szCs w:val="24"/>
        </w:rPr>
        <w:t>t location than the instructor.</w:t>
      </w:r>
      <w:r w:rsidR="00337F19" w:rsidRPr="00DE3B07">
        <w:rPr>
          <w:rFonts w:eastAsia="Times New Roman" w:cstheme="minorHAnsi"/>
          <w:sz w:val="20"/>
          <w:szCs w:val="24"/>
        </w:rPr>
        <w:t>”</w:t>
      </w:r>
    </w:p>
    <w:p w:rsidR="00D720C3" w:rsidRPr="00DE3B07" w:rsidRDefault="00D720C3" w:rsidP="00153DF8">
      <w:pPr>
        <w:spacing w:after="0" w:line="240" w:lineRule="auto"/>
        <w:rPr>
          <w:rFonts w:eastAsia="Times New Roman" w:cstheme="minorHAnsi"/>
          <w:sz w:val="20"/>
          <w:szCs w:val="24"/>
        </w:rPr>
      </w:pPr>
    </w:p>
    <w:p w:rsidR="00D720C3" w:rsidRPr="00DE3B07" w:rsidRDefault="00153DF8" w:rsidP="00153DF8">
      <w:pPr>
        <w:spacing w:after="0" w:line="240" w:lineRule="auto"/>
        <w:rPr>
          <w:rFonts w:eastAsia="Times New Roman" w:cstheme="minorHAnsi"/>
          <w:sz w:val="20"/>
          <w:szCs w:val="24"/>
        </w:rPr>
      </w:pPr>
      <w:r w:rsidRPr="00DE3B07">
        <w:rPr>
          <w:rFonts w:eastAsia="Times New Roman" w:cstheme="minorHAnsi"/>
          <w:sz w:val="20"/>
          <w:szCs w:val="24"/>
        </w:rPr>
        <w:t>Distance Education fees are authorized by the Board of Regents for collection as determined by Section 55.16 of the Texas Education Code.</w:t>
      </w:r>
      <w:r w:rsidR="00D720C3" w:rsidRPr="00DE3B07">
        <w:rPr>
          <w:rFonts w:eastAsia="Times New Roman" w:cstheme="minorHAnsi"/>
          <w:sz w:val="20"/>
          <w:szCs w:val="24"/>
        </w:rPr>
        <w:t xml:space="preserve">  </w:t>
      </w:r>
    </w:p>
    <w:p w:rsidR="00D720C3" w:rsidRPr="00667BC4" w:rsidRDefault="00D720C3" w:rsidP="00153DF8">
      <w:pPr>
        <w:spacing w:after="0" w:line="240" w:lineRule="auto"/>
        <w:rPr>
          <w:rFonts w:eastAsia="Times New Roman" w:cstheme="minorHAnsi"/>
          <w:sz w:val="12"/>
          <w:szCs w:val="24"/>
        </w:rPr>
      </w:pPr>
    </w:p>
    <w:p w:rsidR="00153DF8" w:rsidRPr="00DE3B07" w:rsidRDefault="00D720C3" w:rsidP="00D720C3">
      <w:pPr>
        <w:spacing w:after="0" w:line="240" w:lineRule="auto"/>
        <w:ind w:left="720" w:right="1350"/>
        <w:jc w:val="both"/>
        <w:rPr>
          <w:rFonts w:eastAsia="Times New Roman" w:cstheme="minorHAnsi"/>
          <w:sz w:val="20"/>
          <w:szCs w:val="24"/>
        </w:rPr>
      </w:pPr>
      <w:r w:rsidRPr="00DE3B07">
        <w:rPr>
          <w:rFonts w:eastAsia="Times New Roman" w:cstheme="minorHAnsi"/>
          <w:sz w:val="20"/>
          <w:szCs w:val="24"/>
        </w:rPr>
        <w:t>Sec. 55.16.  BOARD RESPONSIBILITY.  (a)  Each board shall be authorized to fix and collect rentals, rates, and charges from students and others for the occupancy, services, use, and/or availability of all or any of its property, buildings, structures, activities, operations, or other facilities as provided by this section.</w:t>
      </w:r>
    </w:p>
    <w:p w:rsidR="00153DF8" w:rsidRPr="00667BC4" w:rsidRDefault="00153DF8" w:rsidP="00153DF8">
      <w:pPr>
        <w:spacing w:after="0" w:line="240" w:lineRule="auto"/>
        <w:rPr>
          <w:rFonts w:eastAsia="Times New Roman" w:cstheme="minorHAnsi"/>
          <w:sz w:val="14"/>
          <w:szCs w:val="24"/>
        </w:rPr>
      </w:pPr>
    </w:p>
    <w:p w:rsidR="00D55B3A" w:rsidRPr="00DE3B07" w:rsidRDefault="00D55B3A" w:rsidP="00153DF8">
      <w:pPr>
        <w:spacing w:after="0" w:line="240" w:lineRule="auto"/>
        <w:rPr>
          <w:rFonts w:eastAsia="Times New Roman" w:cstheme="minorHAnsi"/>
          <w:sz w:val="20"/>
          <w:szCs w:val="24"/>
        </w:rPr>
      </w:pPr>
      <w:r w:rsidRPr="00DE3B07">
        <w:rPr>
          <w:rFonts w:eastAsia="Times New Roman" w:cstheme="minorHAnsi"/>
          <w:sz w:val="20"/>
          <w:szCs w:val="24"/>
        </w:rPr>
        <w:t>At this point</w:t>
      </w:r>
      <w:r w:rsidR="00846C1F" w:rsidRPr="00DE3B07">
        <w:rPr>
          <w:rFonts w:eastAsia="Times New Roman" w:cstheme="minorHAnsi"/>
          <w:sz w:val="20"/>
          <w:szCs w:val="24"/>
        </w:rPr>
        <w:t>, courses</w:t>
      </w:r>
      <w:r w:rsidRPr="00DE3B07">
        <w:rPr>
          <w:rFonts w:eastAsia="Times New Roman" w:cstheme="minorHAnsi"/>
          <w:sz w:val="20"/>
          <w:szCs w:val="24"/>
        </w:rPr>
        <w:t xml:space="preserve"> that are completely </w:t>
      </w:r>
      <w:r w:rsidR="007270ED" w:rsidRPr="00667BC4">
        <w:rPr>
          <w:rFonts w:eastAsia="Times New Roman" w:cstheme="minorHAnsi"/>
          <w:sz w:val="20"/>
          <w:szCs w:val="24"/>
        </w:rPr>
        <w:t>online, as</w:t>
      </w:r>
      <w:r w:rsidR="00DE494F" w:rsidRPr="00667BC4">
        <w:rPr>
          <w:rFonts w:eastAsia="Times New Roman" w:cstheme="minorHAnsi"/>
          <w:sz w:val="20"/>
          <w:szCs w:val="24"/>
        </w:rPr>
        <w:t xml:space="preserve"> well as hybrid,</w:t>
      </w:r>
      <w:r w:rsidRPr="00DE3B07">
        <w:rPr>
          <w:rFonts w:eastAsia="Times New Roman" w:cstheme="minorHAnsi"/>
          <w:sz w:val="20"/>
          <w:szCs w:val="24"/>
        </w:rPr>
        <w:t xml:space="preserve"> </w:t>
      </w:r>
      <w:r w:rsidRPr="00667BC4">
        <w:rPr>
          <w:rFonts w:eastAsia="Times New Roman" w:cstheme="minorHAnsi"/>
          <w:sz w:val="20"/>
          <w:szCs w:val="24"/>
        </w:rPr>
        <w:t>may</w:t>
      </w:r>
      <w:r w:rsidRPr="00DE3B07">
        <w:rPr>
          <w:rFonts w:eastAsia="Times New Roman" w:cstheme="minorHAnsi"/>
          <w:sz w:val="20"/>
          <w:szCs w:val="24"/>
        </w:rPr>
        <w:t xml:space="preserve"> </w:t>
      </w:r>
      <w:r w:rsidR="00DE494F" w:rsidRPr="00667BC4">
        <w:rPr>
          <w:rFonts w:eastAsia="Times New Roman" w:cstheme="minorHAnsi"/>
          <w:sz w:val="20"/>
          <w:szCs w:val="24"/>
        </w:rPr>
        <w:t>support training for faculty and staff’s</w:t>
      </w:r>
      <w:r w:rsidRPr="00DE3B07">
        <w:rPr>
          <w:rFonts w:eastAsia="Times New Roman" w:cstheme="minorHAnsi"/>
          <w:sz w:val="20"/>
          <w:szCs w:val="24"/>
        </w:rPr>
        <w:t xml:space="preserve"> education courses.  Reporting a course as a distance education course triggers additional fees for students.   </w:t>
      </w:r>
    </w:p>
    <w:p w:rsidR="00D55B3A" w:rsidRPr="00667BC4" w:rsidRDefault="00D55B3A" w:rsidP="00153DF8">
      <w:pPr>
        <w:spacing w:after="0" w:line="240" w:lineRule="auto"/>
        <w:rPr>
          <w:rFonts w:eastAsia="Times New Roman" w:cstheme="minorHAnsi"/>
          <w:sz w:val="16"/>
          <w:szCs w:val="24"/>
        </w:rPr>
      </w:pPr>
    </w:p>
    <w:p w:rsidR="00D720C3" w:rsidRPr="00DE3B07" w:rsidRDefault="00D720C3" w:rsidP="00894E15">
      <w:pPr>
        <w:spacing w:after="0" w:line="240" w:lineRule="auto"/>
        <w:rPr>
          <w:rFonts w:eastAsia="Times New Roman" w:cstheme="minorHAnsi"/>
          <w:b/>
          <w:i/>
          <w:sz w:val="20"/>
          <w:szCs w:val="24"/>
          <w:u w:val="single"/>
        </w:rPr>
      </w:pPr>
      <w:r w:rsidRPr="00DE3B07">
        <w:rPr>
          <w:rFonts w:eastAsia="Times New Roman" w:cstheme="minorHAnsi"/>
          <w:b/>
          <w:i/>
          <w:sz w:val="20"/>
          <w:szCs w:val="24"/>
          <w:u w:val="single"/>
        </w:rPr>
        <w:t>Use of Fees Collected</w:t>
      </w:r>
    </w:p>
    <w:p w:rsidR="00894E15" w:rsidRPr="00DE3B07" w:rsidRDefault="00D720C3">
      <w:pPr>
        <w:spacing w:after="0" w:line="240" w:lineRule="auto"/>
        <w:rPr>
          <w:rFonts w:eastAsia="Times New Roman" w:cstheme="minorHAnsi"/>
          <w:sz w:val="20"/>
          <w:szCs w:val="24"/>
        </w:rPr>
      </w:pPr>
      <w:r w:rsidRPr="00DE3B07">
        <w:rPr>
          <w:rFonts w:eastAsia="Times New Roman" w:cstheme="minorHAnsi"/>
          <w:sz w:val="20"/>
          <w:szCs w:val="24"/>
        </w:rPr>
        <w:t>F</w:t>
      </w:r>
      <w:r w:rsidR="00894E15" w:rsidRPr="00DE3B07">
        <w:rPr>
          <w:rFonts w:eastAsia="Times New Roman" w:cstheme="minorHAnsi"/>
          <w:sz w:val="20"/>
          <w:szCs w:val="24"/>
        </w:rPr>
        <w:t xml:space="preserve">unds </w:t>
      </w:r>
      <w:r w:rsidR="00D55B3A" w:rsidRPr="00DE3B07">
        <w:rPr>
          <w:rFonts w:eastAsia="Times New Roman" w:cstheme="minorHAnsi"/>
          <w:sz w:val="20"/>
          <w:szCs w:val="24"/>
        </w:rPr>
        <w:t xml:space="preserve">from distance education fees will be split, with </w:t>
      </w:r>
      <w:r w:rsidR="00DE494F" w:rsidRPr="00667BC4">
        <w:rPr>
          <w:rFonts w:eastAsia="Times New Roman" w:cstheme="minorHAnsi"/>
          <w:sz w:val="20"/>
          <w:szCs w:val="24"/>
        </w:rPr>
        <w:t>37</w:t>
      </w:r>
      <w:r w:rsidR="009A1091">
        <w:rPr>
          <w:rFonts w:eastAsia="Times New Roman" w:cstheme="minorHAnsi"/>
          <w:sz w:val="20"/>
          <w:szCs w:val="24"/>
        </w:rPr>
        <w:t>.5</w:t>
      </w:r>
      <w:r w:rsidR="00DE494F" w:rsidRPr="00667BC4">
        <w:rPr>
          <w:rFonts w:eastAsia="Times New Roman" w:cstheme="minorHAnsi"/>
          <w:sz w:val="20"/>
          <w:szCs w:val="24"/>
        </w:rPr>
        <w:t xml:space="preserve">% </w:t>
      </w:r>
      <w:r w:rsidR="00D55B3A" w:rsidRPr="00DE3B07">
        <w:rPr>
          <w:rFonts w:eastAsia="Times New Roman" w:cstheme="minorHAnsi"/>
          <w:sz w:val="20"/>
          <w:szCs w:val="24"/>
        </w:rPr>
        <w:t xml:space="preserve"> of collected fees being returned to the</w:t>
      </w:r>
      <w:r w:rsidR="00894E15" w:rsidRPr="00DE3B07">
        <w:rPr>
          <w:rFonts w:eastAsia="Times New Roman" w:cstheme="minorHAnsi"/>
          <w:sz w:val="20"/>
          <w:szCs w:val="24"/>
        </w:rPr>
        <w:t xml:space="preserve"> college or academic unit </w:t>
      </w:r>
      <w:r w:rsidR="00D55B3A" w:rsidRPr="00DE3B07">
        <w:rPr>
          <w:rFonts w:eastAsia="Times New Roman" w:cstheme="minorHAnsi"/>
          <w:sz w:val="20"/>
          <w:szCs w:val="24"/>
        </w:rPr>
        <w:t>which generates them and</w:t>
      </w:r>
      <w:r w:rsidR="00DE494F" w:rsidRPr="00667BC4">
        <w:rPr>
          <w:rFonts w:eastAsia="Times New Roman" w:cstheme="minorHAnsi"/>
          <w:sz w:val="20"/>
          <w:szCs w:val="24"/>
        </w:rPr>
        <w:t xml:space="preserve"> 12.5</w:t>
      </w:r>
      <w:r w:rsidR="00995425" w:rsidRPr="00DE3B07">
        <w:rPr>
          <w:rFonts w:eastAsia="Times New Roman" w:cstheme="minorHAnsi"/>
          <w:sz w:val="20"/>
          <w:szCs w:val="24"/>
        </w:rPr>
        <w:t>% to</w:t>
      </w:r>
      <w:r w:rsidR="00D55B3A" w:rsidRPr="00DE3B07">
        <w:rPr>
          <w:rFonts w:eastAsia="Times New Roman" w:cstheme="minorHAnsi"/>
          <w:sz w:val="20"/>
          <w:szCs w:val="24"/>
        </w:rPr>
        <w:t xml:space="preserve"> </w:t>
      </w:r>
      <w:r w:rsidR="009A1091">
        <w:rPr>
          <w:rFonts w:eastAsia="Times New Roman" w:cstheme="minorHAnsi"/>
          <w:sz w:val="20"/>
          <w:szCs w:val="24"/>
        </w:rPr>
        <w:t xml:space="preserve"> the Center for Faculty Excellence and additional allocations to</w:t>
      </w:r>
      <w:r w:rsidR="00DE3B07" w:rsidRPr="00667BC4">
        <w:rPr>
          <w:rFonts w:eastAsia="Times New Roman" w:cstheme="minorHAnsi"/>
          <w:sz w:val="20"/>
          <w:szCs w:val="24"/>
        </w:rPr>
        <w:t xml:space="preserve"> Technology Services, Procurements</w:t>
      </w:r>
      <w:r w:rsidR="009A1091">
        <w:rPr>
          <w:rFonts w:eastAsia="Times New Roman" w:cstheme="minorHAnsi"/>
          <w:sz w:val="20"/>
          <w:szCs w:val="24"/>
        </w:rPr>
        <w:t>, and the Office of Distance Education.</w:t>
      </w:r>
      <w:r w:rsidR="00D55B3A" w:rsidRPr="00DE3B07">
        <w:rPr>
          <w:rFonts w:eastAsia="Times New Roman" w:cstheme="minorHAnsi"/>
          <w:sz w:val="20"/>
          <w:szCs w:val="24"/>
        </w:rPr>
        <w:t>.</w:t>
      </w:r>
      <w:r w:rsidR="00337F19" w:rsidRPr="00DE3B07">
        <w:rPr>
          <w:rFonts w:eastAsia="Times New Roman" w:cstheme="minorHAnsi"/>
          <w:sz w:val="20"/>
          <w:szCs w:val="24"/>
        </w:rPr>
        <w:t xml:space="preserve"> </w:t>
      </w:r>
      <w:r w:rsidR="009A1091">
        <w:rPr>
          <w:rFonts w:eastAsia="Times New Roman" w:cstheme="minorHAnsi"/>
          <w:sz w:val="20"/>
          <w:szCs w:val="24"/>
        </w:rPr>
        <w:t>These</w:t>
      </w:r>
      <w:r w:rsidR="00D55B3A" w:rsidRPr="00DE3B07">
        <w:rPr>
          <w:rFonts w:eastAsia="Times New Roman" w:cstheme="minorHAnsi"/>
          <w:sz w:val="20"/>
          <w:szCs w:val="24"/>
        </w:rPr>
        <w:t xml:space="preserve"> </w:t>
      </w:r>
      <w:r w:rsidR="00337F19" w:rsidRPr="00DE3B07">
        <w:rPr>
          <w:rFonts w:eastAsia="Times New Roman" w:cstheme="minorHAnsi"/>
          <w:sz w:val="20"/>
          <w:szCs w:val="24"/>
        </w:rPr>
        <w:t>allocation</w:t>
      </w:r>
      <w:r w:rsidR="009A1091">
        <w:rPr>
          <w:rFonts w:eastAsia="Times New Roman" w:cstheme="minorHAnsi"/>
          <w:sz w:val="20"/>
          <w:szCs w:val="24"/>
        </w:rPr>
        <w:t>s</w:t>
      </w:r>
      <w:r w:rsidR="00337F19" w:rsidRPr="00DE3B07">
        <w:rPr>
          <w:rFonts w:eastAsia="Times New Roman" w:cstheme="minorHAnsi"/>
          <w:sz w:val="20"/>
          <w:szCs w:val="24"/>
        </w:rPr>
        <w:t xml:space="preserve"> </w:t>
      </w:r>
      <w:r w:rsidR="00D55B3A" w:rsidRPr="00DE3B07">
        <w:rPr>
          <w:rFonts w:eastAsia="Times New Roman" w:cstheme="minorHAnsi"/>
          <w:sz w:val="20"/>
          <w:szCs w:val="24"/>
        </w:rPr>
        <w:t>will</w:t>
      </w:r>
      <w:r w:rsidR="00337F19" w:rsidRPr="00DE3B07">
        <w:rPr>
          <w:rFonts w:eastAsia="Times New Roman" w:cstheme="minorHAnsi"/>
          <w:sz w:val="20"/>
          <w:szCs w:val="24"/>
        </w:rPr>
        <w:t xml:space="preserve"> be reviewed </w:t>
      </w:r>
      <w:r w:rsidR="00D55B3A" w:rsidRPr="00DE3B07">
        <w:rPr>
          <w:rFonts w:eastAsia="Times New Roman" w:cstheme="minorHAnsi"/>
          <w:sz w:val="20"/>
          <w:szCs w:val="24"/>
        </w:rPr>
        <w:t>annually</w:t>
      </w:r>
      <w:r w:rsidR="00337F19" w:rsidRPr="00DE3B07">
        <w:rPr>
          <w:rFonts w:eastAsia="Times New Roman" w:cstheme="minorHAnsi"/>
          <w:sz w:val="20"/>
          <w:szCs w:val="24"/>
        </w:rPr>
        <w:t xml:space="preserve"> by the Provost and administration during the budget development process </w:t>
      </w:r>
      <w:r w:rsidR="00D55B3A" w:rsidRPr="00DE3B07">
        <w:rPr>
          <w:rFonts w:eastAsia="Times New Roman" w:cstheme="minorHAnsi"/>
          <w:sz w:val="20"/>
          <w:szCs w:val="24"/>
        </w:rPr>
        <w:t xml:space="preserve">and may be changed </w:t>
      </w:r>
      <w:r w:rsidR="00337F19" w:rsidRPr="00DE3B07">
        <w:rPr>
          <w:rFonts w:eastAsia="Times New Roman" w:cstheme="minorHAnsi"/>
          <w:sz w:val="20"/>
          <w:szCs w:val="24"/>
        </w:rPr>
        <w:t>after analysis of priorities and needs.</w:t>
      </w:r>
    </w:p>
    <w:p w:rsidR="00894E15" w:rsidRPr="00667BC4" w:rsidRDefault="00894E15" w:rsidP="00894E15">
      <w:pPr>
        <w:spacing w:after="0" w:line="240" w:lineRule="auto"/>
        <w:rPr>
          <w:rFonts w:eastAsia="Times New Roman" w:cstheme="minorHAnsi"/>
          <w:sz w:val="16"/>
          <w:szCs w:val="24"/>
        </w:rPr>
      </w:pPr>
    </w:p>
    <w:p w:rsidR="00894E15" w:rsidRPr="00DE3B07" w:rsidRDefault="00153DF8" w:rsidP="00894E15">
      <w:pPr>
        <w:spacing w:after="0" w:line="240" w:lineRule="auto"/>
        <w:rPr>
          <w:rFonts w:eastAsia="Times New Roman" w:cstheme="minorHAnsi"/>
          <w:b/>
          <w:i/>
          <w:sz w:val="20"/>
          <w:szCs w:val="24"/>
          <w:u w:val="single"/>
        </w:rPr>
      </w:pPr>
      <w:r w:rsidRPr="00DE3B07">
        <w:rPr>
          <w:rFonts w:eastAsia="Times New Roman" w:cstheme="minorHAnsi"/>
          <w:b/>
          <w:i/>
          <w:sz w:val="20"/>
          <w:szCs w:val="24"/>
          <w:u w:val="single"/>
        </w:rPr>
        <w:t>Appropriate Use of Fees-Program Delivery</w:t>
      </w:r>
    </w:p>
    <w:p w:rsidR="00153DF8" w:rsidRPr="00DE3B07" w:rsidRDefault="00894E15" w:rsidP="00894E15">
      <w:pPr>
        <w:spacing w:after="0" w:line="240" w:lineRule="auto"/>
        <w:rPr>
          <w:rFonts w:eastAsia="Times New Roman" w:cstheme="minorHAnsi"/>
          <w:sz w:val="20"/>
          <w:szCs w:val="24"/>
        </w:rPr>
      </w:pPr>
      <w:r w:rsidRPr="00DE3B07">
        <w:rPr>
          <w:rFonts w:eastAsia="Times New Roman" w:cstheme="minorHAnsi"/>
          <w:sz w:val="20"/>
          <w:szCs w:val="24"/>
        </w:rPr>
        <w:t xml:space="preserve">These </w:t>
      </w:r>
      <w:r w:rsidR="00153DF8" w:rsidRPr="00DE3B07">
        <w:rPr>
          <w:rFonts w:eastAsia="Times New Roman" w:cstheme="minorHAnsi"/>
          <w:sz w:val="20"/>
          <w:szCs w:val="24"/>
        </w:rPr>
        <w:t>funds can be used for the following types of expenditures</w:t>
      </w:r>
      <w:r w:rsidR="00337F19" w:rsidRPr="00DE3B07">
        <w:rPr>
          <w:rFonts w:eastAsia="Times New Roman" w:cstheme="minorHAnsi"/>
          <w:sz w:val="20"/>
          <w:szCs w:val="24"/>
        </w:rPr>
        <w:t xml:space="preserve"> if they directly support distance education</w:t>
      </w:r>
      <w:r w:rsidR="00153DF8" w:rsidRPr="00DE3B07">
        <w:rPr>
          <w:rFonts w:eastAsia="Times New Roman" w:cstheme="minorHAnsi"/>
          <w:sz w:val="20"/>
          <w:szCs w:val="24"/>
        </w:rPr>
        <w:t>:</w:t>
      </w:r>
    </w:p>
    <w:p w:rsidR="00153DF8" w:rsidRPr="00DE3B07" w:rsidRDefault="00894E15" w:rsidP="00894E15">
      <w:pPr>
        <w:spacing w:after="0" w:line="240" w:lineRule="auto"/>
        <w:rPr>
          <w:rFonts w:eastAsia="Times New Roman" w:cstheme="minorHAnsi"/>
          <w:sz w:val="20"/>
          <w:szCs w:val="24"/>
        </w:rPr>
      </w:pPr>
      <w:r w:rsidRPr="00DE3B07">
        <w:rPr>
          <w:rFonts w:eastAsia="Times New Roman" w:cstheme="minorHAnsi"/>
          <w:sz w:val="20"/>
          <w:szCs w:val="24"/>
        </w:rPr>
        <w:t xml:space="preserve"> </w:t>
      </w:r>
    </w:p>
    <w:p w:rsidR="00337F19" w:rsidRPr="00DE3B07" w:rsidRDefault="00337F19" w:rsidP="00337F19">
      <w:pPr>
        <w:pStyle w:val="ListParagraph"/>
        <w:numPr>
          <w:ilvl w:val="0"/>
          <w:numId w:val="1"/>
        </w:numPr>
        <w:spacing w:after="0" w:line="240" w:lineRule="auto"/>
        <w:rPr>
          <w:rFonts w:eastAsia="Times New Roman" w:cstheme="minorHAnsi"/>
          <w:sz w:val="20"/>
          <w:szCs w:val="24"/>
        </w:rPr>
        <w:sectPr w:rsidR="00337F19" w:rsidRPr="00DE3B07" w:rsidSect="00667BC4">
          <w:headerReference w:type="default" r:id="rId8"/>
          <w:footerReference w:type="default" r:id="rId9"/>
          <w:pgSz w:w="12240" w:h="15840"/>
          <w:pgMar w:top="720" w:right="1008" w:bottom="720" w:left="1008" w:header="720" w:footer="720" w:gutter="0"/>
          <w:cols w:space="720"/>
          <w:docGrid w:linePitch="360"/>
        </w:sectPr>
      </w:pPr>
    </w:p>
    <w:p w:rsidR="00337F19" w:rsidRPr="00DE3B07" w:rsidRDefault="00647AC7"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lastRenderedPageBreak/>
        <w:t>S</w:t>
      </w:r>
      <w:r w:rsidR="00337F19" w:rsidRPr="00DE3B07">
        <w:rPr>
          <w:rFonts w:eastAsia="Times New Roman" w:cstheme="minorHAnsi"/>
          <w:sz w:val="20"/>
          <w:szCs w:val="24"/>
        </w:rPr>
        <w:t>alaries</w:t>
      </w:r>
      <w:r w:rsidRPr="00DE3B07">
        <w:rPr>
          <w:rFonts w:eastAsia="Times New Roman" w:cstheme="minorHAnsi"/>
          <w:sz w:val="20"/>
          <w:szCs w:val="24"/>
        </w:rPr>
        <w:t>-instructional &amp; support staff</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W</w:t>
      </w:r>
      <w:r w:rsidR="00337F19" w:rsidRPr="00DE3B07">
        <w:rPr>
          <w:rFonts w:eastAsia="Times New Roman" w:cstheme="minorHAnsi"/>
          <w:sz w:val="20"/>
          <w:szCs w:val="24"/>
        </w:rPr>
        <w:t>ages</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M</w:t>
      </w:r>
      <w:r w:rsidR="00337F19" w:rsidRPr="00DE3B07">
        <w:rPr>
          <w:rFonts w:eastAsia="Times New Roman" w:cstheme="minorHAnsi"/>
          <w:sz w:val="20"/>
          <w:szCs w:val="24"/>
        </w:rPr>
        <w:t>aterial/</w:t>
      </w:r>
      <w:r w:rsidRPr="00DE3B07">
        <w:rPr>
          <w:rFonts w:eastAsia="Times New Roman" w:cstheme="minorHAnsi"/>
          <w:sz w:val="20"/>
          <w:szCs w:val="24"/>
        </w:rPr>
        <w:t>S</w:t>
      </w:r>
      <w:r w:rsidR="00337F19" w:rsidRPr="00DE3B07">
        <w:rPr>
          <w:rFonts w:eastAsia="Times New Roman" w:cstheme="minorHAnsi"/>
          <w:sz w:val="20"/>
          <w:szCs w:val="24"/>
        </w:rPr>
        <w:t>upplies</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S</w:t>
      </w:r>
      <w:r w:rsidR="00337F19" w:rsidRPr="00DE3B07">
        <w:rPr>
          <w:rFonts w:eastAsia="Times New Roman" w:cstheme="minorHAnsi"/>
          <w:sz w:val="20"/>
          <w:szCs w:val="24"/>
        </w:rPr>
        <w:t>ervices/</w:t>
      </w:r>
      <w:r w:rsidRPr="00DE3B07">
        <w:rPr>
          <w:rFonts w:eastAsia="Times New Roman" w:cstheme="minorHAnsi"/>
          <w:sz w:val="20"/>
          <w:szCs w:val="24"/>
        </w:rPr>
        <w:t>T</w:t>
      </w:r>
      <w:r w:rsidR="00337F19" w:rsidRPr="00DE3B07">
        <w:rPr>
          <w:rFonts w:eastAsia="Times New Roman" w:cstheme="minorHAnsi"/>
          <w:sz w:val="20"/>
          <w:szCs w:val="24"/>
        </w:rPr>
        <w:t>raining</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M</w:t>
      </w:r>
      <w:r w:rsidR="00337F19" w:rsidRPr="00DE3B07">
        <w:rPr>
          <w:rFonts w:eastAsia="Times New Roman" w:cstheme="minorHAnsi"/>
          <w:sz w:val="20"/>
          <w:szCs w:val="24"/>
        </w:rPr>
        <w:t>arketing</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lastRenderedPageBreak/>
        <w:t>S</w:t>
      </w:r>
      <w:r w:rsidR="00337F19" w:rsidRPr="00DE3B07">
        <w:rPr>
          <w:rFonts w:eastAsia="Times New Roman" w:cstheme="minorHAnsi"/>
          <w:sz w:val="20"/>
          <w:szCs w:val="24"/>
        </w:rPr>
        <w:t xml:space="preserve">oftware </w:t>
      </w:r>
      <w:r w:rsidRPr="00DE3B07">
        <w:rPr>
          <w:rFonts w:eastAsia="Times New Roman" w:cstheme="minorHAnsi"/>
          <w:sz w:val="20"/>
          <w:szCs w:val="24"/>
        </w:rPr>
        <w:t>P</w:t>
      </w:r>
      <w:r w:rsidR="00337F19" w:rsidRPr="00DE3B07">
        <w:rPr>
          <w:rFonts w:eastAsia="Times New Roman" w:cstheme="minorHAnsi"/>
          <w:sz w:val="20"/>
          <w:szCs w:val="24"/>
        </w:rPr>
        <w:t>urchases</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F</w:t>
      </w:r>
      <w:r w:rsidR="00337F19" w:rsidRPr="00DE3B07">
        <w:rPr>
          <w:rFonts w:eastAsia="Times New Roman" w:cstheme="minorHAnsi"/>
          <w:sz w:val="20"/>
          <w:szCs w:val="24"/>
        </w:rPr>
        <w:t xml:space="preserve">ood &amp; </w:t>
      </w:r>
      <w:r w:rsidRPr="00DE3B07">
        <w:rPr>
          <w:rFonts w:eastAsia="Times New Roman" w:cstheme="minorHAnsi"/>
          <w:sz w:val="20"/>
          <w:szCs w:val="24"/>
        </w:rPr>
        <w:t>M</w:t>
      </w:r>
      <w:r w:rsidR="00337F19" w:rsidRPr="00DE3B07">
        <w:rPr>
          <w:rFonts w:eastAsia="Times New Roman" w:cstheme="minorHAnsi"/>
          <w:sz w:val="20"/>
          <w:szCs w:val="24"/>
        </w:rPr>
        <w:t>eals</w:t>
      </w:r>
    </w:p>
    <w:p w:rsidR="00337F19" w:rsidRPr="00DE3B07" w:rsidRDefault="008E7AB9" w:rsidP="00337F19">
      <w:pPr>
        <w:pStyle w:val="ListParagraph"/>
        <w:numPr>
          <w:ilvl w:val="0"/>
          <w:numId w:val="1"/>
        </w:numPr>
        <w:spacing w:after="0" w:line="240" w:lineRule="auto"/>
        <w:rPr>
          <w:rFonts w:eastAsia="Times New Roman" w:cstheme="minorHAnsi"/>
          <w:sz w:val="20"/>
          <w:szCs w:val="24"/>
        </w:rPr>
      </w:pPr>
      <w:r w:rsidRPr="00DE3B07">
        <w:rPr>
          <w:rFonts w:eastAsia="Times New Roman" w:cstheme="minorHAnsi"/>
          <w:sz w:val="20"/>
          <w:szCs w:val="24"/>
        </w:rPr>
        <w:t>M</w:t>
      </w:r>
      <w:r w:rsidR="00337F19" w:rsidRPr="00DE3B07">
        <w:rPr>
          <w:rFonts w:eastAsia="Times New Roman" w:cstheme="minorHAnsi"/>
          <w:sz w:val="20"/>
          <w:szCs w:val="24"/>
        </w:rPr>
        <w:t xml:space="preserve">aintenance </w:t>
      </w:r>
      <w:r w:rsidRPr="00DE3B07">
        <w:rPr>
          <w:rFonts w:eastAsia="Times New Roman" w:cstheme="minorHAnsi"/>
          <w:sz w:val="20"/>
          <w:szCs w:val="24"/>
        </w:rPr>
        <w:t>&amp;</w:t>
      </w:r>
      <w:r w:rsidR="00337F19" w:rsidRPr="00DE3B07">
        <w:rPr>
          <w:rFonts w:eastAsia="Times New Roman" w:cstheme="minorHAnsi"/>
          <w:sz w:val="20"/>
          <w:szCs w:val="24"/>
        </w:rPr>
        <w:t xml:space="preserve"> </w:t>
      </w:r>
      <w:r w:rsidRPr="00DE3B07">
        <w:rPr>
          <w:rFonts w:eastAsia="Times New Roman" w:cstheme="minorHAnsi"/>
          <w:sz w:val="20"/>
          <w:szCs w:val="24"/>
        </w:rPr>
        <w:t>R</w:t>
      </w:r>
      <w:r w:rsidR="00337F19" w:rsidRPr="00DE3B07">
        <w:rPr>
          <w:rFonts w:eastAsia="Times New Roman" w:cstheme="minorHAnsi"/>
          <w:sz w:val="20"/>
          <w:szCs w:val="24"/>
        </w:rPr>
        <w:t>epair</w:t>
      </w:r>
    </w:p>
    <w:p w:rsidR="00337F19" w:rsidRPr="00DE3B07" w:rsidRDefault="008E7AB9" w:rsidP="00153DF8">
      <w:pPr>
        <w:pStyle w:val="ListParagraph"/>
        <w:numPr>
          <w:ilvl w:val="0"/>
          <w:numId w:val="1"/>
        </w:numPr>
        <w:spacing w:after="0" w:line="240" w:lineRule="auto"/>
        <w:rPr>
          <w:rFonts w:eastAsia="Times New Roman" w:cstheme="minorHAnsi"/>
          <w:sz w:val="20"/>
          <w:szCs w:val="24"/>
        </w:rPr>
        <w:sectPr w:rsidR="00337F19" w:rsidRPr="00DE3B07" w:rsidSect="00337F19">
          <w:type w:val="continuous"/>
          <w:pgSz w:w="12240" w:h="15840"/>
          <w:pgMar w:top="1296" w:right="1440" w:bottom="1296" w:left="1440" w:header="720" w:footer="720" w:gutter="0"/>
          <w:cols w:num="2" w:space="720"/>
          <w:docGrid w:linePitch="360"/>
        </w:sectPr>
      </w:pPr>
      <w:r w:rsidRPr="00DE3B07">
        <w:rPr>
          <w:rFonts w:eastAsia="Times New Roman" w:cstheme="minorHAnsi"/>
          <w:sz w:val="20"/>
          <w:szCs w:val="24"/>
        </w:rPr>
        <w:t>F</w:t>
      </w:r>
      <w:r w:rsidR="00337F19" w:rsidRPr="00DE3B07">
        <w:rPr>
          <w:rFonts w:eastAsia="Times New Roman" w:cstheme="minorHAnsi"/>
          <w:sz w:val="20"/>
          <w:szCs w:val="24"/>
        </w:rPr>
        <w:t xml:space="preserve">urnishings &amp; </w:t>
      </w:r>
      <w:r w:rsidRPr="00DE3B07">
        <w:rPr>
          <w:rFonts w:eastAsia="Times New Roman" w:cstheme="minorHAnsi"/>
          <w:sz w:val="20"/>
          <w:szCs w:val="24"/>
        </w:rPr>
        <w:t>E</w:t>
      </w:r>
      <w:r w:rsidR="00337F19" w:rsidRPr="00DE3B07">
        <w:rPr>
          <w:rFonts w:eastAsia="Times New Roman" w:cstheme="minorHAnsi"/>
          <w:sz w:val="20"/>
          <w:szCs w:val="24"/>
        </w:rPr>
        <w:t>quipment</w:t>
      </w:r>
    </w:p>
    <w:p w:rsidR="00153DF8" w:rsidRPr="00DE3B07" w:rsidRDefault="00153DF8" w:rsidP="00667BC4">
      <w:pPr>
        <w:spacing w:before="120" w:after="120" w:line="240" w:lineRule="auto"/>
        <w:rPr>
          <w:rFonts w:eastAsia="Times New Roman" w:cstheme="minorHAnsi"/>
          <w:b/>
          <w:i/>
          <w:sz w:val="20"/>
          <w:szCs w:val="24"/>
          <w:u w:val="single"/>
        </w:rPr>
      </w:pPr>
      <w:r w:rsidRPr="00DE3B07">
        <w:rPr>
          <w:rFonts w:eastAsia="Times New Roman" w:cstheme="minorHAnsi"/>
          <w:b/>
          <w:i/>
          <w:sz w:val="20"/>
          <w:szCs w:val="24"/>
          <w:u w:val="single"/>
        </w:rPr>
        <w:lastRenderedPageBreak/>
        <w:t xml:space="preserve">Expenditures that need Prior </w:t>
      </w:r>
      <w:r w:rsidR="009C2CBF" w:rsidRPr="00DE3B07">
        <w:rPr>
          <w:rFonts w:eastAsia="Times New Roman" w:cstheme="minorHAnsi"/>
          <w:b/>
          <w:i/>
          <w:sz w:val="20"/>
          <w:szCs w:val="24"/>
          <w:u w:val="single"/>
        </w:rPr>
        <w:t>Approval</w:t>
      </w:r>
      <w:r w:rsidRPr="00DE3B07">
        <w:rPr>
          <w:rFonts w:eastAsia="Times New Roman" w:cstheme="minorHAnsi"/>
          <w:b/>
          <w:i/>
          <w:sz w:val="20"/>
          <w:szCs w:val="24"/>
          <w:u w:val="single"/>
        </w:rPr>
        <w:t xml:space="preserve"> </w:t>
      </w:r>
      <w:r w:rsidR="007270ED" w:rsidRPr="00667BC4">
        <w:rPr>
          <w:rFonts w:eastAsia="Times New Roman" w:cstheme="minorHAnsi"/>
          <w:b/>
          <w:i/>
          <w:sz w:val="20"/>
          <w:szCs w:val="24"/>
          <w:u w:val="single"/>
        </w:rPr>
        <w:t>from Associate</w:t>
      </w:r>
      <w:r w:rsidR="00DE494F" w:rsidRPr="00667BC4">
        <w:rPr>
          <w:rFonts w:eastAsia="Times New Roman" w:cstheme="minorHAnsi"/>
          <w:b/>
          <w:i/>
          <w:sz w:val="20"/>
          <w:szCs w:val="24"/>
          <w:u w:val="single"/>
        </w:rPr>
        <w:t xml:space="preserve"> VP for Academic </w:t>
      </w:r>
      <w:r w:rsidR="009A1091">
        <w:rPr>
          <w:rFonts w:eastAsia="Times New Roman" w:cstheme="minorHAnsi"/>
          <w:b/>
          <w:i/>
          <w:sz w:val="20"/>
          <w:szCs w:val="24"/>
          <w:u w:val="single"/>
        </w:rPr>
        <w:t xml:space="preserve">Affairs </w:t>
      </w:r>
      <w:r w:rsidR="00DE494F" w:rsidRPr="00667BC4">
        <w:rPr>
          <w:rFonts w:eastAsia="Times New Roman" w:cstheme="minorHAnsi"/>
          <w:b/>
          <w:i/>
          <w:sz w:val="20"/>
          <w:szCs w:val="24"/>
          <w:u w:val="single"/>
        </w:rPr>
        <w:t xml:space="preserve"> </w:t>
      </w:r>
    </w:p>
    <w:p w:rsidR="00894E15" w:rsidRPr="00DE3B07" w:rsidRDefault="00153DF8" w:rsidP="00667BC4">
      <w:pPr>
        <w:spacing w:before="120" w:after="120" w:line="240" w:lineRule="auto"/>
        <w:rPr>
          <w:rFonts w:eastAsia="Times New Roman" w:cstheme="minorHAnsi"/>
          <w:sz w:val="20"/>
          <w:szCs w:val="24"/>
        </w:rPr>
      </w:pPr>
      <w:r w:rsidRPr="00DE3B07">
        <w:rPr>
          <w:rFonts w:eastAsia="Times New Roman" w:cstheme="minorHAnsi"/>
          <w:sz w:val="20"/>
          <w:szCs w:val="24"/>
        </w:rPr>
        <w:t xml:space="preserve">Travel expenditures, except those in the office of the Director of Distance Education, will need prior authorization from the </w:t>
      </w:r>
      <w:r w:rsidR="009A1091">
        <w:rPr>
          <w:rFonts w:eastAsia="Times New Roman" w:cstheme="minorHAnsi"/>
          <w:sz w:val="20"/>
          <w:szCs w:val="24"/>
        </w:rPr>
        <w:t xml:space="preserve"> Associate VP for Academic Affairs</w:t>
      </w:r>
      <w:r w:rsidRPr="00DE3B07">
        <w:rPr>
          <w:rFonts w:eastAsia="Times New Roman" w:cstheme="minorHAnsi"/>
          <w:sz w:val="20"/>
          <w:szCs w:val="24"/>
        </w:rPr>
        <w:t xml:space="preserve"> office to ensure consistency in development and delivery of all distance education courses and programs.</w:t>
      </w:r>
    </w:p>
    <w:p w:rsidR="00894E15" w:rsidRPr="00DE3B07" w:rsidRDefault="00153DF8" w:rsidP="00667BC4">
      <w:pPr>
        <w:pStyle w:val="ListParagraph"/>
        <w:numPr>
          <w:ilvl w:val="0"/>
          <w:numId w:val="2"/>
        </w:numPr>
        <w:spacing w:before="120" w:after="120" w:line="240" w:lineRule="auto"/>
        <w:rPr>
          <w:sz w:val="18"/>
        </w:rPr>
      </w:pPr>
      <w:r w:rsidRPr="00DE3B07">
        <w:rPr>
          <w:rFonts w:eastAsia="Times New Roman" w:cstheme="minorHAnsi"/>
          <w:sz w:val="20"/>
          <w:szCs w:val="24"/>
        </w:rPr>
        <w:t>Travel</w:t>
      </w:r>
    </w:p>
    <w:p w:rsidR="00FE620C" w:rsidRPr="00667BC4" w:rsidRDefault="00FE620C" w:rsidP="00667BC4">
      <w:pPr>
        <w:spacing w:before="120" w:after="120" w:line="240" w:lineRule="auto"/>
        <w:rPr>
          <w:sz w:val="20"/>
        </w:rPr>
      </w:pPr>
      <w:r w:rsidRPr="00667BC4">
        <w:rPr>
          <w:b/>
          <w:i/>
          <w:sz w:val="20"/>
        </w:rPr>
        <w:t>Accounting for Distance Education Fees</w:t>
      </w:r>
      <w:r w:rsidRPr="00667BC4">
        <w:rPr>
          <w:b/>
          <w:i/>
          <w:sz w:val="20"/>
        </w:rPr>
        <w:br/>
      </w:r>
      <w:r w:rsidRPr="00667BC4">
        <w:rPr>
          <w:sz w:val="20"/>
        </w:rPr>
        <w:t>Distance Education fees should be kept in separate account</w:t>
      </w:r>
      <w:r w:rsidR="00D361CA" w:rsidRPr="00667BC4">
        <w:rPr>
          <w:sz w:val="20"/>
        </w:rPr>
        <w:t>s</w:t>
      </w:r>
      <w:r w:rsidRPr="00667BC4">
        <w:rPr>
          <w:sz w:val="20"/>
        </w:rPr>
        <w:t xml:space="preserve"> and good records kept on </w:t>
      </w:r>
      <w:r w:rsidR="00D361CA" w:rsidRPr="00667BC4">
        <w:rPr>
          <w:sz w:val="20"/>
        </w:rPr>
        <w:t xml:space="preserve">revenues and </w:t>
      </w:r>
      <w:r w:rsidRPr="00667BC4">
        <w:rPr>
          <w:sz w:val="20"/>
        </w:rPr>
        <w:t xml:space="preserve">expenditures.  The Legislature, the </w:t>
      </w:r>
      <w:r w:rsidR="004C3CC8" w:rsidRPr="00667BC4">
        <w:rPr>
          <w:sz w:val="20"/>
        </w:rPr>
        <w:t>Board of</w:t>
      </w:r>
      <w:r w:rsidRPr="00667BC4">
        <w:rPr>
          <w:sz w:val="20"/>
        </w:rPr>
        <w:t xml:space="preserve"> Regents, and the Coordinating Board have all expressed an interest in and asked for data related to distance education funding in the last year, and the State Auditor’s Office has just done a preliminary state-wide audit of distance education fees and funding.  </w:t>
      </w:r>
      <w:r w:rsidR="00D361CA" w:rsidRPr="00667BC4">
        <w:rPr>
          <w:sz w:val="20"/>
        </w:rPr>
        <w:t>It is e</w:t>
      </w:r>
      <w:r w:rsidRPr="00667BC4">
        <w:rPr>
          <w:sz w:val="20"/>
        </w:rPr>
        <w:t>xpect</w:t>
      </w:r>
      <w:r w:rsidR="00D361CA" w:rsidRPr="00667BC4">
        <w:rPr>
          <w:sz w:val="20"/>
        </w:rPr>
        <w:t>ed</w:t>
      </w:r>
      <w:r w:rsidRPr="00667BC4">
        <w:rPr>
          <w:sz w:val="20"/>
        </w:rPr>
        <w:t xml:space="preserve"> that the institution’s use of distance education fees is likely to be </w:t>
      </w:r>
      <w:r w:rsidR="00D361CA" w:rsidRPr="00667BC4">
        <w:rPr>
          <w:sz w:val="20"/>
        </w:rPr>
        <w:t xml:space="preserve">periodically </w:t>
      </w:r>
      <w:r w:rsidRPr="00667BC4">
        <w:rPr>
          <w:sz w:val="20"/>
        </w:rPr>
        <w:t xml:space="preserve">audited by the university, the system, or the state, and </w:t>
      </w:r>
      <w:r w:rsidR="00D361CA" w:rsidRPr="00667BC4">
        <w:rPr>
          <w:sz w:val="20"/>
        </w:rPr>
        <w:t xml:space="preserve">the need to </w:t>
      </w:r>
      <w:r w:rsidRPr="00667BC4">
        <w:rPr>
          <w:sz w:val="20"/>
        </w:rPr>
        <w:t>keep appropriate records</w:t>
      </w:r>
      <w:r w:rsidR="00D361CA" w:rsidRPr="00667BC4">
        <w:rPr>
          <w:sz w:val="20"/>
        </w:rPr>
        <w:t xml:space="preserve"> of revenue collections and use of fees is important</w:t>
      </w:r>
      <w:r w:rsidRPr="00667BC4">
        <w:rPr>
          <w:sz w:val="20"/>
        </w:rPr>
        <w:t>.</w:t>
      </w:r>
    </w:p>
    <w:p w:rsidR="00337F19" w:rsidRPr="00DE3B07" w:rsidRDefault="00337F19" w:rsidP="00667BC4">
      <w:pPr>
        <w:spacing w:before="120" w:after="120" w:line="240" w:lineRule="auto"/>
        <w:rPr>
          <w:rFonts w:eastAsia="Times New Roman" w:cstheme="minorHAnsi"/>
          <w:b/>
          <w:i/>
          <w:sz w:val="20"/>
          <w:szCs w:val="24"/>
          <w:u w:val="single"/>
        </w:rPr>
      </w:pPr>
      <w:r w:rsidRPr="00DE3B07">
        <w:rPr>
          <w:rFonts w:eastAsia="Times New Roman" w:cstheme="minorHAnsi"/>
          <w:b/>
          <w:i/>
          <w:sz w:val="20"/>
          <w:szCs w:val="24"/>
          <w:u w:val="single"/>
        </w:rPr>
        <w:t>Fund Balances</w:t>
      </w:r>
    </w:p>
    <w:p w:rsidR="00D64F5F" w:rsidRPr="00DE3B07" w:rsidRDefault="00D64F5F" w:rsidP="00667BC4">
      <w:pPr>
        <w:spacing w:before="120" w:after="120" w:line="240" w:lineRule="auto"/>
        <w:rPr>
          <w:rFonts w:eastAsia="Times New Roman" w:cstheme="minorHAnsi"/>
          <w:i/>
          <w:iCs/>
          <w:sz w:val="20"/>
          <w:szCs w:val="24"/>
        </w:rPr>
      </w:pPr>
      <w:r w:rsidRPr="00DE3B07">
        <w:rPr>
          <w:rFonts w:eastAsia="Times New Roman" w:cstheme="minorHAnsi"/>
          <w:i/>
          <w:iCs/>
          <w:sz w:val="20"/>
          <w:szCs w:val="24"/>
        </w:rPr>
        <w:t>The following standards are provided to ensure student fee fund balances are maintained at the appropriate level.</w:t>
      </w:r>
    </w:p>
    <w:p w:rsidR="00FE620C" w:rsidRPr="00DE3B07" w:rsidRDefault="00FE620C" w:rsidP="00667BC4">
      <w:pPr>
        <w:pStyle w:val="ListParagraph"/>
        <w:numPr>
          <w:ilvl w:val="0"/>
          <w:numId w:val="2"/>
        </w:numPr>
        <w:spacing w:before="120" w:after="120" w:line="240" w:lineRule="auto"/>
        <w:rPr>
          <w:rFonts w:eastAsia="Times New Roman" w:cstheme="minorHAnsi"/>
          <w:sz w:val="20"/>
          <w:szCs w:val="24"/>
        </w:rPr>
      </w:pPr>
      <w:r w:rsidRPr="00DE3B07">
        <w:rPr>
          <w:rFonts w:eastAsia="Times New Roman" w:cstheme="minorHAnsi"/>
          <w:sz w:val="20"/>
          <w:szCs w:val="24"/>
        </w:rPr>
        <w:t xml:space="preserve">Colleges can include their share of projected distance education fees when budgeting.  </w:t>
      </w:r>
    </w:p>
    <w:p w:rsidR="00D64F5F" w:rsidRPr="00DE3B07" w:rsidRDefault="00FE620C" w:rsidP="00667BC4">
      <w:pPr>
        <w:pStyle w:val="ListParagraph"/>
        <w:numPr>
          <w:ilvl w:val="0"/>
          <w:numId w:val="2"/>
        </w:numPr>
        <w:spacing w:before="120" w:after="120" w:line="240" w:lineRule="auto"/>
        <w:rPr>
          <w:rFonts w:eastAsia="Times New Roman" w:cstheme="minorHAnsi"/>
          <w:sz w:val="20"/>
          <w:szCs w:val="24"/>
        </w:rPr>
      </w:pPr>
      <w:r w:rsidRPr="00DE3B07">
        <w:rPr>
          <w:rFonts w:eastAsia="Times New Roman" w:cstheme="minorHAnsi"/>
          <w:sz w:val="20"/>
          <w:szCs w:val="24"/>
        </w:rPr>
        <w:t>Distance Education</w:t>
      </w:r>
      <w:r w:rsidR="00D64F5F" w:rsidRPr="00DE3B07">
        <w:rPr>
          <w:rFonts w:eastAsia="Times New Roman" w:cstheme="minorHAnsi"/>
          <w:sz w:val="20"/>
          <w:szCs w:val="24"/>
        </w:rPr>
        <w:t xml:space="preserve"> fee fund balances </w:t>
      </w:r>
      <w:r w:rsidRPr="00DE3B07">
        <w:rPr>
          <w:rFonts w:eastAsia="Times New Roman" w:cstheme="minorHAnsi"/>
          <w:sz w:val="20"/>
          <w:szCs w:val="24"/>
        </w:rPr>
        <w:t xml:space="preserve">should generally not be allowed to build up.  If there is a specific use that </w:t>
      </w:r>
      <w:r w:rsidR="00596987" w:rsidRPr="00DE3B07">
        <w:rPr>
          <w:rFonts w:eastAsia="Times New Roman" w:cstheme="minorHAnsi"/>
          <w:sz w:val="20"/>
          <w:szCs w:val="24"/>
        </w:rPr>
        <w:t xml:space="preserve">justifies </w:t>
      </w:r>
      <w:r w:rsidR="00D64F5F" w:rsidRPr="00DE3B07">
        <w:rPr>
          <w:rFonts w:eastAsia="Times New Roman" w:cstheme="minorHAnsi"/>
          <w:sz w:val="20"/>
          <w:szCs w:val="24"/>
        </w:rPr>
        <w:t xml:space="preserve">growing </w:t>
      </w:r>
      <w:r w:rsidRPr="00DE3B07">
        <w:rPr>
          <w:rFonts w:eastAsia="Times New Roman" w:cstheme="minorHAnsi"/>
          <w:sz w:val="20"/>
          <w:szCs w:val="24"/>
        </w:rPr>
        <w:t xml:space="preserve">a balance, that use </w:t>
      </w:r>
      <w:r w:rsidR="00D64F5F" w:rsidRPr="00DE3B07">
        <w:rPr>
          <w:rFonts w:eastAsia="Times New Roman" w:cstheme="minorHAnsi"/>
          <w:sz w:val="20"/>
          <w:szCs w:val="24"/>
        </w:rPr>
        <w:t xml:space="preserve">must </w:t>
      </w:r>
      <w:r w:rsidRPr="00DE3B07">
        <w:rPr>
          <w:rFonts w:eastAsia="Times New Roman" w:cstheme="minorHAnsi"/>
          <w:sz w:val="20"/>
          <w:szCs w:val="24"/>
        </w:rPr>
        <w:t>be</w:t>
      </w:r>
      <w:r w:rsidR="00D64F5F" w:rsidRPr="00DE3B07">
        <w:rPr>
          <w:rFonts w:eastAsia="Times New Roman" w:cstheme="minorHAnsi"/>
          <w:sz w:val="20"/>
          <w:szCs w:val="24"/>
        </w:rPr>
        <w:t xml:space="preserve"> reviewed and approved by the administration.</w:t>
      </w:r>
    </w:p>
    <w:p w:rsidR="00337F19" w:rsidRPr="00667BC4" w:rsidRDefault="00FE620C" w:rsidP="00667BC4">
      <w:pPr>
        <w:pStyle w:val="ListParagraph"/>
        <w:numPr>
          <w:ilvl w:val="0"/>
          <w:numId w:val="2"/>
        </w:numPr>
        <w:spacing w:before="120" w:after="120" w:line="240" w:lineRule="auto"/>
        <w:rPr>
          <w:rFonts w:eastAsia="Times New Roman" w:cstheme="minorHAnsi"/>
          <w:sz w:val="18"/>
          <w:szCs w:val="24"/>
        </w:rPr>
      </w:pPr>
      <w:r w:rsidRPr="00DE3B07">
        <w:rPr>
          <w:rFonts w:eastAsia="Times New Roman" w:cstheme="minorHAnsi"/>
          <w:sz w:val="20"/>
          <w:szCs w:val="24"/>
        </w:rPr>
        <w:t xml:space="preserve">Distance Education Fee </w:t>
      </w:r>
      <w:r w:rsidR="00D64F5F" w:rsidRPr="00DE3B07">
        <w:rPr>
          <w:rFonts w:eastAsia="Times New Roman" w:cstheme="minorHAnsi"/>
          <w:sz w:val="20"/>
          <w:szCs w:val="24"/>
        </w:rPr>
        <w:t xml:space="preserve">Revenues </w:t>
      </w:r>
      <w:r w:rsidRPr="00DE3B07">
        <w:rPr>
          <w:rFonts w:eastAsia="Times New Roman" w:cstheme="minorHAnsi"/>
          <w:sz w:val="20"/>
          <w:szCs w:val="24"/>
        </w:rPr>
        <w:t xml:space="preserve">are generally </w:t>
      </w:r>
      <w:r w:rsidR="00D64F5F" w:rsidRPr="00DE3B07">
        <w:rPr>
          <w:rFonts w:eastAsia="Times New Roman" w:cstheme="minorHAnsi"/>
          <w:sz w:val="20"/>
          <w:szCs w:val="24"/>
        </w:rPr>
        <w:t>expected to be expended within the same fiscal year.</w:t>
      </w:r>
    </w:p>
    <w:sectPr w:rsidR="00337F19" w:rsidRPr="00667BC4" w:rsidSect="00667BC4">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F20" w:rsidRDefault="00FF6F20" w:rsidP="00CA74D6">
      <w:pPr>
        <w:spacing w:after="0" w:line="240" w:lineRule="auto"/>
      </w:pPr>
      <w:r>
        <w:separator/>
      </w:r>
    </w:p>
  </w:endnote>
  <w:endnote w:type="continuationSeparator" w:id="0">
    <w:p w:rsidR="00FF6F20" w:rsidRDefault="00FF6F20" w:rsidP="00CA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C0E" w:rsidRPr="00667BC4" w:rsidRDefault="001F7C0E" w:rsidP="00667BC4">
    <w:pPr>
      <w:pStyle w:val="Footer"/>
      <w:jc w:val="right"/>
      <w:rPr>
        <w:i/>
        <w:sz w:val="20"/>
      </w:rPr>
    </w:pPr>
    <w:r w:rsidRPr="00667BC4">
      <w:rPr>
        <w:i/>
        <w:sz w:val="20"/>
      </w:rPr>
      <w:t>03142013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F20" w:rsidRDefault="00FF6F20" w:rsidP="00CA74D6">
      <w:pPr>
        <w:spacing w:after="0" w:line="240" w:lineRule="auto"/>
      </w:pPr>
      <w:r>
        <w:separator/>
      </w:r>
    </w:p>
  </w:footnote>
  <w:footnote w:type="continuationSeparator" w:id="0">
    <w:p w:rsidR="00FF6F20" w:rsidRDefault="00FF6F20" w:rsidP="00CA7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91" w:rsidRPr="00D64F5F" w:rsidRDefault="004E6F91" w:rsidP="00CA74D6">
    <w:pPr>
      <w:pStyle w:val="Header"/>
      <w:jc w:val="center"/>
      <w:rPr>
        <w:b/>
        <w:sz w:val="24"/>
      </w:rPr>
    </w:pPr>
    <w:r w:rsidRPr="00D64F5F">
      <w:rPr>
        <w:b/>
        <w:sz w:val="24"/>
      </w:rPr>
      <w:t>TEXAS A&amp;M UNIVERSITY-CORPUS CHRISTI</w:t>
    </w:r>
  </w:p>
  <w:p w:rsidR="004E6F91" w:rsidRPr="00D64F5F" w:rsidRDefault="004E6F91" w:rsidP="00CA74D6">
    <w:pPr>
      <w:pStyle w:val="Header"/>
      <w:jc w:val="center"/>
      <w:rPr>
        <w:b/>
        <w:sz w:val="24"/>
      </w:rPr>
    </w:pPr>
    <w:r w:rsidRPr="00D64F5F">
      <w:rPr>
        <w:b/>
        <w:sz w:val="24"/>
      </w:rPr>
      <w:t>Guidelines for Distance Education Fees</w:t>
    </w:r>
  </w:p>
  <w:p w:rsidR="004E6F91" w:rsidRPr="00D64F5F" w:rsidRDefault="004E6F91" w:rsidP="00894E15">
    <w:pPr>
      <w:pStyle w:val="Header"/>
      <w:pBdr>
        <w:between w:val="single" w:sz="4" w:space="1" w:color="auto"/>
      </w:pBdr>
      <w:jc w:val="center"/>
      <w:rPr>
        <w:b/>
        <w:sz w:val="24"/>
      </w:rPr>
    </w:pPr>
    <w:r w:rsidRPr="00D64F5F">
      <w:rPr>
        <w:b/>
        <w:sz w:val="24"/>
      </w:rPr>
      <w:t>Expenditures of Budgeted Funds</w:t>
    </w:r>
  </w:p>
  <w:p w:rsidR="004E6F91" w:rsidRDefault="00FF6F20" w:rsidP="00CA74D6">
    <w:pPr>
      <w:pStyle w:val="Header"/>
      <w:jc w:val="center"/>
      <w:rPr>
        <w:sz w:val="24"/>
      </w:rPr>
    </w:pPr>
    <w:r>
      <w:rPr>
        <w:sz w:val="24"/>
      </w:rPr>
      <w:pict>
        <v:rect id="_x0000_i1025" style="width:0;height:1.5pt" o:hralign="center" o:hrstd="t" o:hr="t" fillcolor="#a0a0a0" stroked="f"/>
      </w:pict>
    </w:r>
  </w:p>
  <w:p w:rsidR="004E6F91" w:rsidRPr="00337F19" w:rsidRDefault="004E6F91" w:rsidP="00CA74D6">
    <w:pPr>
      <w:pStyle w:val="Header"/>
      <w:jc w:val="center"/>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8239F"/>
    <w:multiLevelType w:val="multilevel"/>
    <w:tmpl w:val="8910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E6D81"/>
    <w:multiLevelType w:val="hybridMultilevel"/>
    <w:tmpl w:val="5874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90735"/>
    <w:multiLevelType w:val="hybridMultilevel"/>
    <w:tmpl w:val="36FA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4D6"/>
    <w:rsid w:val="000E794F"/>
    <w:rsid w:val="00153DF8"/>
    <w:rsid w:val="001A69DD"/>
    <w:rsid w:val="001F7C0E"/>
    <w:rsid w:val="002165F2"/>
    <w:rsid w:val="002313AF"/>
    <w:rsid w:val="00337F19"/>
    <w:rsid w:val="003A5578"/>
    <w:rsid w:val="003D7BF2"/>
    <w:rsid w:val="00433AA6"/>
    <w:rsid w:val="00450E3F"/>
    <w:rsid w:val="004C3CC8"/>
    <w:rsid w:val="004E6F91"/>
    <w:rsid w:val="005932D6"/>
    <w:rsid w:val="00596987"/>
    <w:rsid w:val="005A753D"/>
    <w:rsid w:val="005A794C"/>
    <w:rsid w:val="005D0D30"/>
    <w:rsid w:val="00647AC7"/>
    <w:rsid w:val="00667BC4"/>
    <w:rsid w:val="007234CE"/>
    <w:rsid w:val="007270ED"/>
    <w:rsid w:val="00846C1F"/>
    <w:rsid w:val="00894E15"/>
    <w:rsid w:val="008E7AB9"/>
    <w:rsid w:val="00952BB4"/>
    <w:rsid w:val="00995425"/>
    <w:rsid w:val="009A1091"/>
    <w:rsid w:val="009C2CBF"/>
    <w:rsid w:val="00BB0B61"/>
    <w:rsid w:val="00CA74D6"/>
    <w:rsid w:val="00D361CA"/>
    <w:rsid w:val="00D55B3A"/>
    <w:rsid w:val="00D64F5F"/>
    <w:rsid w:val="00D720C3"/>
    <w:rsid w:val="00DE3B07"/>
    <w:rsid w:val="00DE494F"/>
    <w:rsid w:val="00E96760"/>
    <w:rsid w:val="00F90CEA"/>
    <w:rsid w:val="00FE620C"/>
    <w:rsid w:val="00FF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D6"/>
  </w:style>
  <w:style w:type="paragraph" w:styleId="Footer">
    <w:name w:val="footer"/>
    <w:basedOn w:val="Normal"/>
    <w:link w:val="FooterChar"/>
    <w:uiPriority w:val="99"/>
    <w:unhideWhenUsed/>
    <w:rsid w:val="00CA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D6"/>
  </w:style>
  <w:style w:type="paragraph" w:styleId="ListParagraph">
    <w:name w:val="List Paragraph"/>
    <w:basedOn w:val="Normal"/>
    <w:uiPriority w:val="34"/>
    <w:qFormat/>
    <w:rsid w:val="00153DF8"/>
    <w:pPr>
      <w:ind w:left="720"/>
      <w:contextualSpacing/>
    </w:pPr>
  </w:style>
  <w:style w:type="paragraph" w:styleId="NormalWeb">
    <w:name w:val="Normal (Web)"/>
    <w:basedOn w:val="Normal"/>
    <w:uiPriority w:val="99"/>
    <w:semiHidden/>
    <w:unhideWhenUsed/>
    <w:rsid w:val="00D64F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F5F"/>
    <w:rPr>
      <w:i/>
      <w:iCs/>
    </w:rPr>
  </w:style>
  <w:style w:type="paragraph" w:styleId="BalloonText">
    <w:name w:val="Balloon Text"/>
    <w:basedOn w:val="Normal"/>
    <w:link w:val="BalloonTextChar"/>
    <w:uiPriority w:val="99"/>
    <w:semiHidden/>
    <w:unhideWhenUsed/>
    <w:rsid w:val="00D55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4D6"/>
  </w:style>
  <w:style w:type="paragraph" w:styleId="Footer">
    <w:name w:val="footer"/>
    <w:basedOn w:val="Normal"/>
    <w:link w:val="FooterChar"/>
    <w:uiPriority w:val="99"/>
    <w:unhideWhenUsed/>
    <w:rsid w:val="00CA7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4D6"/>
  </w:style>
  <w:style w:type="paragraph" w:styleId="ListParagraph">
    <w:name w:val="List Paragraph"/>
    <w:basedOn w:val="Normal"/>
    <w:uiPriority w:val="34"/>
    <w:qFormat/>
    <w:rsid w:val="00153DF8"/>
    <w:pPr>
      <w:ind w:left="720"/>
      <w:contextualSpacing/>
    </w:pPr>
  </w:style>
  <w:style w:type="paragraph" w:styleId="NormalWeb">
    <w:name w:val="Normal (Web)"/>
    <w:basedOn w:val="Normal"/>
    <w:uiPriority w:val="99"/>
    <w:semiHidden/>
    <w:unhideWhenUsed/>
    <w:rsid w:val="00D64F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64F5F"/>
    <w:rPr>
      <w:i/>
      <w:iCs/>
    </w:rPr>
  </w:style>
  <w:style w:type="paragraph" w:styleId="BalloonText">
    <w:name w:val="Balloon Text"/>
    <w:basedOn w:val="Normal"/>
    <w:link w:val="BalloonTextChar"/>
    <w:uiPriority w:val="99"/>
    <w:semiHidden/>
    <w:unhideWhenUsed/>
    <w:rsid w:val="00D55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B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Wedgeworth, Kemberly</dc:creator>
  <cp:lastModifiedBy>Regalado, Lupita</cp:lastModifiedBy>
  <cp:revision>2</cp:revision>
  <cp:lastPrinted>2013-03-18T15:26:00Z</cp:lastPrinted>
  <dcterms:created xsi:type="dcterms:W3CDTF">2013-04-01T16:18:00Z</dcterms:created>
  <dcterms:modified xsi:type="dcterms:W3CDTF">2013-04-01T16:18:00Z</dcterms:modified>
</cp:coreProperties>
</file>