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0C" w:rsidRDefault="008B200C" w:rsidP="004B5E6B">
      <w:pPr>
        <w:jc w:val="center"/>
        <w:rPr>
          <w:b/>
        </w:rPr>
      </w:pPr>
      <w:bookmarkStart w:id="0" w:name="_GoBack"/>
      <w:bookmarkEnd w:id="0"/>
      <w:r w:rsidRPr="008B200C">
        <w:rPr>
          <w:b/>
        </w:rPr>
        <w:t>201</w:t>
      </w:r>
      <w:r w:rsidR="00FD0438">
        <w:rPr>
          <w:b/>
        </w:rPr>
        <w:t>8</w:t>
      </w:r>
      <w:r w:rsidRPr="008B200C">
        <w:rPr>
          <w:b/>
        </w:rPr>
        <w:t>-</w:t>
      </w:r>
      <w:r w:rsidR="00FD0438">
        <w:rPr>
          <w:b/>
        </w:rPr>
        <w:t>2019</w:t>
      </w:r>
      <w:r w:rsidRPr="008B200C">
        <w:rPr>
          <w:b/>
        </w:rPr>
        <w:t xml:space="preserve"> Faculty Senate </w:t>
      </w:r>
      <w:r w:rsidR="00602EE6">
        <w:rPr>
          <w:b/>
        </w:rPr>
        <w:t>Annual Report</w:t>
      </w:r>
    </w:p>
    <w:p w:rsidR="00A976D4" w:rsidRDefault="00A976D4">
      <w:pPr>
        <w:rPr>
          <w:b/>
        </w:rPr>
      </w:pPr>
    </w:p>
    <w:p w:rsidR="008B200C" w:rsidRDefault="00A976D4" w:rsidP="00A976D4">
      <w:pPr>
        <w:spacing w:after="0"/>
        <w:rPr>
          <w:b/>
        </w:rPr>
      </w:pPr>
      <w:r>
        <w:rPr>
          <w:b/>
        </w:rPr>
        <w:t>Dr. Frank Spaniol, Speaker</w:t>
      </w:r>
    </w:p>
    <w:p w:rsidR="00A976D4" w:rsidRDefault="00A976D4" w:rsidP="00A976D4">
      <w:pPr>
        <w:spacing w:after="0"/>
        <w:rPr>
          <w:b/>
        </w:rPr>
      </w:pPr>
      <w:r>
        <w:rPr>
          <w:b/>
        </w:rPr>
        <w:t xml:space="preserve">Dr. </w:t>
      </w:r>
      <w:r w:rsidR="00FD0438">
        <w:rPr>
          <w:b/>
        </w:rPr>
        <w:t>Miguel Moreno</w:t>
      </w:r>
      <w:r>
        <w:rPr>
          <w:b/>
        </w:rPr>
        <w:t>, Deputy Speaker</w:t>
      </w:r>
    </w:p>
    <w:p w:rsidR="00A976D4" w:rsidRDefault="00FD0438" w:rsidP="00A976D4">
      <w:pPr>
        <w:spacing w:after="0"/>
        <w:rPr>
          <w:b/>
        </w:rPr>
      </w:pPr>
      <w:r>
        <w:rPr>
          <w:b/>
        </w:rPr>
        <w:t>Dr. Katelijne Acker</w:t>
      </w:r>
      <w:r w:rsidR="00A976D4">
        <w:rPr>
          <w:b/>
        </w:rPr>
        <w:t>, Secretary</w:t>
      </w:r>
    </w:p>
    <w:p w:rsidR="00A976D4" w:rsidRPr="008B200C" w:rsidRDefault="00A976D4">
      <w:pPr>
        <w:rPr>
          <w:b/>
        </w:rPr>
      </w:pPr>
    </w:p>
    <w:p w:rsidR="008B200C" w:rsidRPr="004D076A" w:rsidRDefault="004D076A">
      <w:pPr>
        <w:rPr>
          <w:b/>
        </w:rPr>
      </w:pPr>
      <w:r w:rsidRPr="004D076A">
        <w:rPr>
          <w:b/>
        </w:rPr>
        <w:t xml:space="preserve">I. </w:t>
      </w:r>
      <w:r w:rsidR="008B200C" w:rsidRPr="004D076A">
        <w:rPr>
          <w:b/>
        </w:rPr>
        <w:t>Academic Affairs</w:t>
      </w:r>
      <w:r w:rsidR="00CF2E10">
        <w:rPr>
          <w:b/>
        </w:rPr>
        <w:t xml:space="preserve"> </w:t>
      </w:r>
      <w:r w:rsidR="00A976D4">
        <w:rPr>
          <w:b/>
        </w:rPr>
        <w:t>– Dr. Corinne Valadez, Chair</w:t>
      </w:r>
    </w:p>
    <w:p w:rsidR="004610E1" w:rsidRPr="004610E1" w:rsidRDefault="004610E1" w:rsidP="004610E1">
      <w:pPr>
        <w:rPr>
          <w:rFonts w:eastAsia="Calibri"/>
        </w:rPr>
      </w:pPr>
      <w:r w:rsidRPr="004610E1">
        <w:rPr>
          <w:rFonts w:eastAsia="Calibri"/>
        </w:rPr>
        <w:t xml:space="preserve">The Academic Affairs Committee continued to use Curriculog for catalog review. A total of 368 course additions, program changes, and course changes (260 undergraduate, 108 graduate) were approved during 2018-2019.  In addition, all members of Academic Affairs served on the University Curriculum Committee, chaired by the Academic Affairs Chair. </w:t>
      </w:r>
    </w:p>
    <w:tbl>
      <w:tblPr>
        <w:tblStyle w:val="TableGrid1"/>
        <w:tblpPr w:leftFromText="180" w:rightFromText="180" w:vertAnchor="page" w:horzAnchor="margin" w:tblpY="5866"/>
        <w:tblW w:w="0" w:type="auto"/>
        <w:tblLook w:val="04A0" w:firstRow="1" w:lastRow="0" w:firstColumn="1" w:lastColumn="0" w:noHBand="0" w:noVBand="1"/>
      </w:tblPr>
      <w:tblGrid>
        <w:gridCol w:w="3014"/>
        <w:gridCol w:w="1163"/>
        <w:gridCol w:w="909"/>
        <w:gridCol w:w="1231"/>
        <w:gridCol w:w="1147"/>
        <w:gridCol w:w="1097"/>
        <w:gridCol w:w="789"/>
      </w:tblGrid>
      <w:tr w:rsidR="0095718F" w:rsidRPr="004610E1" w:rsidTr="0095718F">
        <w:tc>
          <w:tcPr>
            <w:tcW w:w="3014" w:type="dxa"/>
          </w:tcPr>
          <w:p w:rsidR="0095718F" w:rsidRPr="004610E1" w:rsidRDefault="0095718F" w:rsidP="0095718F">
            <w:pPr>
              <w:jc w:val="center"/>
              <w:rPr>
                <w:rFonts w:eastAsia="Calibri"/>
                <w:b/>
                <w:color w:val="333333"/>
              </w:rPr>
            </w:pPr>
            <w:r w:rsidRPr="004610E1">
              <w:rPr>
                <w:rFonts w:eastAsia="Calibri"/>
                <w:b/>
                <w:color w:val="333333"/>
              </w:rPr>
              <w:t>College</w:t>
            </w:r>
          </w:p>
        </w:tc>
        <w:tc>
          <w:tcPr>
            <w:tcW w:w="1163" w:type="dxa"/>
          </w:tcPr>
          <w:p w:rsidR="0095718F" w:rsidRPr="004610E1" w:rsidRDefault="0095718F" w:rsidP="0095718F">
            <w:pPr>
              <w:jc w:val="center"/>
              <w:rPr>
                <w:rFonts w:eastAsia="Calibri"/>
                <w:b/>
                <w:color w:val="333333"/>
              </w:rPr>
            </w:pPr>
            <w:r w:rsidRPr="004610E1">
              <w:rPr>
                <w:rFonts w:eastAsia="Calibri"/>
                <w:b/>
                <w:color w:val="333333"/>
              </w:rPr>
              <w:t>Course Deletions</w:t>
            </w:r>
          </w:p>
        </w:tc>
        <w:tc>
          <w:tcPr>
            <w:tcW w:w="909" w:type="dxa"/>
          </w:tcPr>
          <w:p w:rsidR="0095718F" w:rsidRPr="004610E1" w:rsidRDefault="0095718F" w:rsidP="0095718F">
            <w:pPr>
              <w:jc w:val="center"/>
              <w:rPr>
                <w:rFonts w:eastAsia="Calibri"/>
                <w:b/>
                <w:color w:val="333333"/>
              </w:rPr>
            </w:pPr>
            <w:r w:rsidRPr="004610E1">
              <w:rPr>
                <w:rFonts w:eastAsia="Calibri"/>
                <w:b/>
                <w:color w:val="333333"/>
              </w:rPr>
              <w:t>Hours</w:t>
            </w:r>
          </w:p>
        </w:tc>
        <w:tc>
          <w:tcPr>
            <w:tcW w:w="1231" w:type="dxa"/>
          </w:tcPr>
          <w:p w:rsidR="0095718F" w:rsidRPr="004610E1" w:rsidRDefault="0095718F" w:rsidP="0095718F">
            <w:pPr>
              <w:jc w:val="center"/>
              <w:rPr>
                <w:rFonts w:eastAsia="Calibri"/>
                <w:b/>
                <w:color w:val="333333"/>
              </w:rPr>
            </w:pPr>
            <w:r w:rsidRPr="004610E1">
              <w:rPr>
                <w:rFonts w:eastAsia="Calibri"/>
                <w:b/>
                <w:color w:val="333333"/>
              </w:rPr>
              <w:t>Course Additions</w:t>
            </w:r>
          </w:p>
        </w:tc>
        <w:tc>
          <w:tcPr>
            <w:tcW w:w="1147" w:type="dxa"/>
          </w:tcPr>
          <w:p w:rsidR="0095718F" w:rsidRPr="004610E1" w:rsidRDefault="0095718F" w:rsidP="0095718F">
            <w:pPr>
              <w:jc w:val="center"/>
              <w:rPr>
                <w:rFonts w:eastAsia="Calibri"/>
                <w:b/>
                <w:color w:val="333333"/>
              </w:rPr>
            </w:pPr>
            <w:r w:rsidRPr="004610E1">
              <w:rPr>
                <w:rFonts w:eastAsia="Calibri"/>
                <w:b/>
                <w:color w:val="333333"/>
              </w:rPr>
              <w:t>Program Changes</w:t>
            </w:r>
          </w:p>
        </w:tc>
        <w:tc>
          <w:tcPr>
            <w:tcW w:w="1097" w:type="dxa"/>
          </w:tcPr>
          <w:p w:rsidR="0095718F" w:rsidRPr="004610E1" w:rsidRDefault="0095718F" w:rsidP="0095718F">
            <w:pPr>
              <w:jc w:val="center"/>
              <w:rPr>
                <w:rFonts w:eastAsia="Calibri"/>
                <w:b/>
                <w:color w:val="333333"/>
              </w:rPr>
            </w:pPr>
            <w:r w:rsidRPr="004610E1">
              <w:rPr>
                <w:rFonts w:eastAsia="Calibri"/>
                <w:b/>
                <w:color w:val="333333"/>
              </w:rPr>
              <w:t>Course Changes</w:t>
            </w:r>
          </w:p>
        </w:tc>
        <w:tc>
          <w:tcPr>
            <w:tcW w:w="789" w:type="dxa"/>
          </w:tcPr>
          <w:p w:rsidR="0095718F" w:rsidRPr="004610E1" w:rsidRDefault="0095718F" w:rsidP="0095718F">
            <w:pPr>
              <w:jc w:val="center"/>
              <w:rPr>
                <w:rFonts w:eastAsia="Calibri"/>
                <w:b/>
                <w:color w:val="333333"/>
              </w:rPr>
            </w:pPr>
            <w:r w:rsidRPr="004610E1">
              <w:rPr>
                <w:rFonts w:eastAsia="Calibri"/>
                <w:b/>
                <w:color w:val="333333"/>
              </w:rPr>
              <w:t>Misc.</w:t>
            </w:r>
          </w:p>
        </w:tc>
      </w:tr>
      <w:tr w:rsidR="0095718F" w:rsidRPr="004610E1" w:rsidTr="0095718F">
        <w:tc>
          <w:tcPr>
            <w:tcW w:w="3014" w:type="dxa"/>
          </w:tcPr>
          <w:p w:rsidR="0095718F" w:rsidRPr="004610E1" w:rsidRDefault="0095718F" w:rsidP="0095718F">
            <w:pPr>
              <w:rPr>
                <w:rFonts w:eastAsia="Calibri"/>
                <w:color w:val="333333"/>
              </w:rPr>
            </w:pPr>
            <w:r w:rsidRPr="004610E1">
              <w:rPr>
                <w:rFonts w:eastAsia="Calibri"/>
                <w:color w:val="333333"/>
              </w:rPr>
              <w:t>COB – Undergraduate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w:t>
            </w:r>
          </w:p>
        </w:tc>
        <w:tc>
          <w:tcPr>
            <w:tcW w:w="1231" w:type="dxa"/>
          </w:tcPr>
          <w:p w:rsidR="0095718F" w:rsidRPr="004610E1" w:rsidRDefault="0095718F" w:rsidP="0095718F">
            <w:pPr>
              <w:jc w:val="center"/>
              <w:rPr>
                <w:rFonts w:eastAsia="Calibri"/>
                <w:color w:val="333333"/>
              </w:rPr>
            </w:pPr>
            <w:r w:rsidRPr="004610E1">
              <w:rPr>
                <w:rFonts w:eastAsia="Calibri"/>
                <w:color w:val="333333"/>
              </w:rPr>
              <w:t>5</w:t>
            </w:r>
          </w:p>
        </w:tc>
        <w:tc>
          <w:tcPr>
            <w:tcW w:w="1147" w:type="dxa"/>
          </w:tcPr>
          <w:p w:rsidR="0095718F" w:rsidRPr="004610E1" w:rsidRDefault="0095718F" w:rsidP="0095718F">
            <w:pPr>
              <w:jc w:val="center"/>
              <w:rPr>
                <w:rFonts w:eastAsia="Calibri"/>
                <w:color w:val="333333"/>
              </w:rPr>
            </w:pPr>
            <w:r w:rsidRPr="004610E1">
              <w:rPr>
                <w:rFonts w:eastAsia="Calibri"/>
                <w:color w:val="333333"/>
              </w:rPr>
              <w:t>4</w:t>
            </w:r>
          </w:p>
        </w:tc>
        <w:tc>
          <w:tcPr>
            <w:tcW w:w="1097" w:type="dxa"/>
          </w:tcPr>
          <w:p w:rsidR="0095718F" w:rsidRPr="004610E1" w:rsidRDefault="0095718F" w:rsidP="0095718F">
            <w:pPr>
              <w:jc w:val="center"/>
              <w:rPr>
                <w:rFonts w:eastAsia="Calibri"/>
                <w:color w:val="333333"/>
              </w:rPr>
            </w:pPr>
            <w:r w:rsidRPr="004610E1">
              <w:rPr>
                <w:rFonts w:eastAsia="Calibri"/>
                <w:color w:val="333333"/>
              </w:rPr>
              <w:t>4</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color w:val="333333"/>
              </w:rPr>
            </w:pPr>
            <w:r w:rsidRPr="004610E1">
              <w:rPr>
                <w:rFonts w:eastAsia="Calibri"/>
                <w:color w:val="333333"/>
              </w:rPr>
              <w:t>COB – 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w:t>
            </w:r>
          </w:p>
        </w:tc>
        <w:tc>
          <w:tcPr>
            <w:tcW w:w="1231" w:type="dxa"/>
          </w:tcPr>
          <w:p w:rsidR="0095718F" w:rsidRPr="004610E1" w:rsidRDefault="0095718F" w:rsidP="0095718F">
            <w:pPr>
              <w:jc w:val="center"/>
              <w:rPr>
                <w:rFonts w:eastAsia="Calibri"/>
                <w:color w:val="333333"/>
              </w:rPr>
            </w:pPr>
            <w:r w:rsidRPr="004610E1">
              <w:rPr>
                <w:rFonts w:eastAsia="Calibri"/>
                <w:color w:val="333333"/>
              </w:rPr>
              <w:t>-</w:t>
            </w:r>
          </w:p>
        </w:tc>
        <w:tc>
          <w:tcPr>
            <w:tcW w:w="1147" w:type="dxa"/>
          </w:tcPr>
          <w:p w:rsidR="0095718F" w:rsidRPr="004610E1" w:rsidRDefault="0095718F" w:rsidP="0095718F">
            <w:pPr>
              <w:jc w:val="center"/>
              <w:rPr>
                <w:rFonts w:eastAsia="Calibri"/>
                <w:color w:val="333333"/>
              </w:rPr>
            </w:pPr>
            <w:r w:rsidRPr="004610E1">
              <w:rPr>
                <w:rFonts w:eastAsia="Calibri"/>
                <w:color w:val="333333"/>
              </w:rPr>
              <w:t>1</w:t>
            </w:r>
          </w:p>
        </w:tc>
        <w:tc>
          <w:tcPr>
            <w:tcW w:w="1097" w:type="dxa"/>
          </w:tcPr>
          <w:p w:rsidR="0095718F" w:rsidRPr="004610E1" w:rsidRDefault="0095718F" w:rsidP="0095718F">
            <w:pPr>
              <w:jc w:val="center"/>
              <w:rPr>
                <w:rFonts w:eastAsia="Calibri"/>
                <w:color w:val="333333"/>
              </w:rPr>
            </w:pPr>
            <w:r w:rsidRPr="004610E1">
              <w:rPr>
                <w:rFonts w:eastAsia="Calibri"/>
                <w:color w:val="333333"/>
              </w:rPr>
              <w:t>-</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color w:val="333333"/>
              </w:rPr>
            </w:pPr>
            <w:r w:rsidRPr="004610E1">
              <w:rPr>
                <w:rFonts w:eastAsia="Calibri"/>
                <w:color w:val="333333"/>
              </w:rPr>
              <w:t>COEHD – Undergraduate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2</w:t>
            </w:r>
          </w:p>
        </w:tc>
        <w:tc>
          <w:tcPr>
            <w:tcW w:w="1231" w:type="dxa"/>
          </w:tcPr>
          <w:p w:rsidR="0095718F" w:rsidRPr="004610E1" w:rsidRDefault="0095718F" w:rsidP="0095718F">
            <w:pPr>
              <w:jc w:val="center"/>
              <w:rPr>
                <w:rFonts w:eastAsia="Calibri"/>
                <w:color w:val="333333"/>
              </w:rPr>
            </w:pPr>
            <w:r w:rsidRPr="004610E1">
              <w:rPr>
                <w:rFonts w:eastAsia="Calibri"/>
                <w:color w:val="333333"/>
              </w:rPr>
              <w:t>-</w:t>
            </w:r>
          </w:p>
        </w:tc>
        <w:tc>
          <w:tcPr>
            <w:tcW w:w="1147" w:type="dxa"/>
          </w:tcPr>
          <w:p w:rsidR="0095718F" w:rsidRPr="004610E1" w:rsidRDefault="0095718F" w:rsidP="0095718F">
            <w:pPr>
              <w:jc w:val="center"/>
              <w:rPr>
                <w:rFonts w:eastAsia="Calibri"/>
                <w:color w:val="333333"/>
              </w:rPr>
            </w:pPr>
            <w:r w:rsidRPr="004610E1">
              <w:rPr>
                <w:rFonts w:eastAsia="Calibri"/>
                <w:color w:val="333333"/>
              </w:rPr>
              <w:t>2</w:t>
            </w:r>
          </w:p>
        </w:tc>
        <w:tc>
          <w:tcPr>
            <w:tcW w:w="1097" w:type="dxa"/>
          </w:tcPr>
          <w:p w:rsidR="0095718F" w:rsidRPr="004610E1" w:rsidRDefault="0095718F" w:rsidP="0095718F">
            <w:pPr>
              <w:jc w:val="center"/>
              <w:rPr>
                <w:rFonts w:eastAsia="Calibri"/>
                <w:color w:val="333333"/>
              </w:rPr>
            </w:pPr>
            <w:r w:rsidRPr="004610E1">
              <w:rPr>
                <w:rFonts w:eastAsia="Calibri"/>
                <w:color w:val="333333"/>
              </w:rPr>
              <w:t>27</w:t>
            </w:r>
          </w:p>
        </w:tc>
        <w:tc>
          <w:tcPr>
            <w:tcW w:w="789" w:type="dxa"/>
          </w:tcPr>
          <w:p w:rsidR="0095718F" w:rsidRPr="004610E1" w:rsidRDefault="0095718F" w:rsidP="0095718F">
            <w:pPr>
              <w:jc w:val="center"/>
              <w:rPr>
                <w:rFonts w:eastAsia="Calibri"/>
                <w:color w:val="333333"/>
              </w:rPr>
            </w:pPr>
            <w:r w:rsidRPr="004610E1">
              <w:rPr>
                <w:rFonts w:eastAsia="Calibri"/>
                <w:color w:val="333333"/>
              </w:rPr>
              <w:t>2</w:t>
            </w:r>
          </w:p>
        </w:tc>
      </w:tr>
      <w:tr w:rsidR="0095718F" w:rsidRPr="004610E1" w:rsidTr="0095718F">
        <w:tc>
          <w:tcPr>
            <w:tcW w:w="3014" w:type="dxa"/>
          </w:tcPr>
          <w:p w:rsidR="0095718F" w:rsidRPr="004610E1" w:rsidRDefault="0095718F" w:rsidP="0095718F">
            <w:pPr>
              <w:rPr>
                <w:rFonts w:eastAsia="Calibri"/>
                <w:color w:val="333333"/>
              </w:rPr>
            </w:pPr>
            <w:r w:rsidRPr="004610E1">
              <w:rPr>
                <w:rFonts w:eastAsia="Calibri"/>
                <w:color w:val="333333"/>
              </w:rPr>
              <w:t>COEHD – 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w:t>
            </w:r>
          </w:p>
        </w:tc>
        <w:tc>
          <w:tcPr>
            <w:tcW w:w="1231" w:type="dxa"/>
          </w:tcPr>
          <w:p w:rsidR="0095718F" w:rsidRPr="004610E1" w:rsidRDefault="0095718F" w:rsidP="0095718F">
            <w:pPr>
              <w:jc w:val="center"/>
              <w:rPr>
                <w:rFonts w:eastAsia="Calibri"/>
                <w:color w:val="333333"/>
              </w:rPr>
            </w:pPr>
            <w:r w:rsidRPr="004610E1">
              <w:rPr>
                <w:rFonts w:eastAsia="Calibri"/>
                <w:color w:val="333333"/>
              </w:rPr>
              <w:t>-</w:t>
            </w:r>
          </w:p>
        </w:tc>
        <w:tc>
          <w:tcPr>
            <w:tcW w:w="1147" w:type="dxa"/>
          </w:tcPr>
          <w:p w:rsidR="0095718F" w:rsidRPr="004610E1" w:rsidRDefault="0095718F" w:rsidP="0095718F">
            <w:pPr>
              <w:jc w:val="center"/>
              <w:rPr>
                <w:rFonts w:eastAsia="Calibri"/>
                <w:color w:val="333333"/>
              </w:rPr>
            </w:pPr>
            <w:r w:rsidRPr="004610E1">
              <w:rPr>
                <w:rFonts w:eastAsia="Calibri"/>
                <w:color w:val="333333"/>
              </w:rPr>
              <w:t>4</w:t>
            </w:r>
          </w:p>
        </w:tc>
        <w:tc>
          <w:tcPr>
            <w:tcW w:w="1097" w:type="dxa"/>
          </w:tcPr>
          <w:p w:rsidR="0095718F" w:rsidRPr="004610E1" w:rsidRDefault="0095718F" w:rsidP="0095718F">
            <w:pPr>
              <w:jc w:val="center"/>
              <w:rPr>
                <w:rFonts w:eastAsia="Calibri"/>
                <w:color w:val="333333"/>
              </w:rPr>
            </w:pPr>
            <w:r w:rsidRPr="004610E1">
              <w:rPr>
                <w:rFonts w:eastAsia="Calibri"/>
                <w:color w:val="333333"/>
              </w:rPr>
              <w:t>15</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rPr>
            </w:pPr>
            <w:r w:rsidRPr="004610E1">
              <w:rPr>
                <w:rFonts w:eastAsia="Calibri"/>
              </w:rPr>
              <w:t>COLA – Undergraduate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12</w:t>
            </w:r>
          </w:p>
        </w:tc>
        <w:tc>
          <w:tcPr>
            <w:tcW w:w="909" w:type="dxa"/>
          </w:tcPr>
          <w:p w:rsidR="0095718F" w:rsidRPr="004610E1" w:rsidRDefault="0095718F" w:rsidP="0095718F">
            <w:pPr>
              <w:jc w:val="center"/>
              <w:rPr>
                <w:rFonts w:eastAsia="Calibri"/>
                <w:color w:val="333333"/>
              </w:rPr>
            </w:pPr>
            <w:r w:rsidRPr="004610E1">
              <w:rPr>
                <w:rFonts w:eastAsia="Calibri"/>
                <w:color w:val="333333"/>
              </w:rPr>
              <w:t>-</w:t>
            </w:r>
          </w:p>
        </w:tc>
        <w:tc>
          <w:tcPr>
            <w:tcW w:w="1231" w:type="dxa"/>
          </w:tcPr>
          <w:p w:rsidR="0095718F" w:rsidRPr="004610E1" w:rsidRDefault="0095718F" w:rsidP="0095718F">
            <w:pPr>
              <w:jc w:val="center"/>
              <w:rPr>
                <w:rFonts w:eastAsia="Calibri"/>
                <w:color w:val="333333"/>
              </w:rPr>
            </w:pPr>
            <w:r w:rsidRPr="004610E1">
              <w:rPr>
                <w:rFonts w:eastAsia="Calibri"/>
                <w:color w:val="333333"/>
              </w:rPr>
              <w:t>40</w:t>
            </w:r>
          </w:p>
        </w:tc>
        <w:tc>
          <w:tcPr>
            <w:tcW w:w="1147" w:type="dxa"/>
          </w:tcPr>
          <w:p w:rsidR="0095718F" w:rsidRPr="004610E1" w:rsidRDefault="0095718F" w:rsidP="0095718F">
            <w:pPr>
              <w:jc w:val="center"/>
              <w:rPr>
                <w:rFonts w:eastAsia="Calibri"/>
                <w:color w:val="333333"/>
              </w:rPr>
            </w:pPr>
            <w:r w:rsidRPr="004610E1">
              <w:rPr>
                <w:rFonts w:eastAsia="Calibri"/>
                <w:color w:val="333333"/>
              </w:rPr>
              <w:t>27</w:t>
            </w:r>
          </w:p>
        </w:tc>
        <w:tc>
          <w:tcPr>
            <w:tcW w:w="1097" w:type="dxa"/>
          </w:tcPr>
          <w:p w:rsidR="0095718F" w:rsidRPr="004610E1" w:rsidRDefault="0095718F" w:rsidP="0095718F">
            <w:pPr>
              <w:jc w:val="center"/>
              <w:rPr>
                <w:rFonts w:eastAsia="Calibri"/>
                <w:color w:val="333333"/>
              </w:rPr>
            </w:pPr>
            <w:r w:rsidRPr="004610E1">
              <w:rPr>
                <w:rFonts w:eastAsia="Calibri"/>
                <w:color w:val="333333"/>
              </w:rPr>
              <w:t>30</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rPr>
            </w:pPr>
            <w:r w:rsidRPr="004610E1">
              <w:rPr>
                <w:rFonts w:eastAsia="Calibri"/>
              </w:rPr>
              <w:t>COLA – 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18</w:t>
            </w:r>
          </w:p>
        </w:tc>
        <w:tc>
          <w:tcPr>
            <w:tcW w:w="909" w:type="dxa"/>
          </w:tcPr>
          <w:p w:rsidR="0095718F" w:rsidRPr="004610E1" w:rsidRDefault="0095718F" w:rsidP="0095718F">
            <w:pPr>
              <w:jc w:val="center"/>
              <w:rPr>
                <w:rFonts w:eastAsia="Calibri"/>
                <w:color w:val="333333"/>
              </w:rPr>
            </w:pPr>
            <w:r w:rsidRPr="004610E1">
              <w:rPr>
                <w:rFonts w:eastAsia="Calibri"/>
                <w:color w:val="333333"/>
              </w:rPr>
              <w:t>1</w:t>
            </w:r>
          </w:p>
        </w:tc>
        <w:tc>
          <w:tcPr>
            <w:tcW w:w="1231" w:type="dxa"/>
          </w:tcPr>
          <w:p w:rsidR="0095718F" w:rsidRPr="004610E1" w:rsidRDefault="0095718F" w:rsidP="0095718F">
            <w:pPr>
              <w:jc w:val="center"/>
              <w:rPr>
                <w:rFonts w:eastAsia="Calibri"/>
                <w:color w:val="333333"/>
              </w:rPr>
            </w:pPr>
            <w:r w:rsidRPr="004610E1">
              <w:rPr>
                <w:rFonts w:eastAsia="Calibri"/>
                <w:color w:val="333333"/>
              </w:rPr>
              <w:t>6</w:t>
            </w:r>
          </w:p>
        </w:tc>
        <w:tc>
          <w:tcPr>
            <w:tcW w:w="1147" w:type="dxa"/>
          </w:tcPr>
          <w:p w:rsidR="0095718F" w:rsidRPr="004610E1" w:rsidRDefault="0095718F" w:rsidP="0095718F">
            <w:pPr>
              <w:jc w:val="center"/>
              <w:rPr>
                <w:rFonts w:eastAsia="Calibri"/>
                <w:color w:val="333333"/>
              </w:rPr>
            </w:pPr>
            <w:r w:rsidRPr="004610E1">
              <w:rPr>
                <w:rFonts w:eastAsia="Calibri"/>
                <w:color w:val="333333"/>
              </w:rPr>
              <w:t>-</w:t>
            </w:r>
          </w:p>
        </w:tc>
        <w:tc>
          <w:tcPr>
            <w:tcW w:w="1097" w:type="dxa"/>
          </w:tcPr>
          <w:p w:rsidR="0095718F" w:rsidRPr="004610E1" w:rsidRDefault="0095718F" w:rsidP="0095718F">
            <w:pPr>
              <w:jc w:val="center"/>
              <w:rPr>
                <w:rFonts w:eastAsia="Calibri"/>
                <w:color w:val="333333"/>
              </w:rPr>
            </w:pPr>
            <w:r w:rsidRPr="004610E1">
              <w:rPr>
                <w:rFonts w:eastAsia="Calibri"/>
                <w:color w:val="333333"/>
              </w:rPr>
              <w:t>1</w:t>
            </w:r>
          </w:p>
        </w:tc>
        <w:tc>
          <w:tcPr>
            <w:tcW w:w="789" w:type="dxa"/>
          </w:tcPr>
          <w:p w:rsidR="0095718F" w:rsidRPr="004610E1" w:rsidRDefault="0095718F" w:rsidP="0095718F">
            <w:pPr>
              <w:jc w:val="center"/>
              <w:rPr>
                <w:rFonts w:eastAsia="Calibri"/>
                <w:color w:val="333333"/>
              </w:rPr>
            </w:pPr>
            <w:r w:rsidRPr="004610E1">
              <w:rPr>
                <w:rFonts w:eastAsia="Calibri"/>
                <w:color w:val="333333"/>
              </w:rPr>
              <w:t>1</w:t>
            </w:r>
          </w:p>
        </w:tc>
      </w:tr>
      <w:tr w:rsidR="0095718F" w:rsidRPr="004610E1" w:rsidTr="0095718F">
        <w:tc>
          <w:tcPr>
            <w:tcW w:w="3014" w:type="dxa"/>
          </w:tcPr>
          <w:p w:rsidR="0095718F" w:rsidRPr="004610E1" w:rsidRDefault="0095718F" w:rsidP="0095718F">
            <w:pPr>
              <w:rPr>
                <w:rFonts w:eastAsia="Calibri"/>
              </w:rPr>
            </w:pPr>
            <w:r w:rsidRPr="004610E1">
              <w:rPr>
                <w:rFonts w:eastAsia="Calibri"/>
              </w:rPr>
              <w:t>CONHS – Undergraduate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w:t>
            </w:r>
          </w:p>
        </w:tc>
        <w:tc>
          <w:tcPr>
            <w:tcW w:w="1231" w:type="dxa"/>
          </w:tcPr>
          <w:p w:rsidR="0095718F" w:rsidRPr="004610E1" w:rsidRDefault="0095718F" w:rsidP="0095718F">
            <w:pPr>
              <w:jc w:val="center"/>
              <w:rPr>
                <w:rFonts w:eastAsia="Calibri"/>
                <w:color w:val="333333"/>
              </w:rPr>
            </w:pPr>
            <w:r w:rsidRPr="004610E1">
              <w:rPr>
                <w:rFonts w:eastAsia="Calibri"/>
                <w:color w:val="333333"/>
              </w:rPr>
              <w:t>26</w:t>
            </w:r>
          </w:p>
        </w:tc>
        <w:tc>
          <w:tcPr>
            <w:tcW w:w="1147" w:type="dxa"/>
          </w:tcPr>
          <w:p w:rsidR="0095718F" w:rsidRPr="004610E1" w:rsidRDefault="0095718F" w:rsidP="0095718F">
            <w:pPr>
              <w:jc w:val="center"/>
              <w:rPr>
                <w:rFonts w:eastAsia="Calibri"/>
                <w:color w:val="333333"/>
              </w:rPr>
            </w:pPr>
            <w:r w:rsidRPr="004610E1">
              <w:rPr>
                <w:rFonts w:eastAsia="Calibri"/>
                <w:color w:val="333333"/>
              </w:rPr>
              <w:t>1</w:t>
            </w:r>
          </w:p>
        </w:tc>
        <w:tc>
          <w:tcPr>
            <w:tcW w:w="1097" w:type="dxa"/>
          </w:tcPr>
          <w:p w:rsidR="0095718F" w:rsidRPr="004610E1" w:rsidRDefault="0095718F" w:rsidP="0095718F">
            <w:pPr>
              <w:jc w:val="center"/>
              <w:rPr>
                <w:rFonts w:eastAsia="Calibri"/>
                <w:color w:val="333333"/>
              </w:rPr>
            </w:pPr>
            <w:r w:rsidRPr="004610E1">
              <w:rPr>
                <w:rFonts w:eastAsia="Calibri"/>
                <w:color w:val="333333"/>
              </w:rPr>
              <w:t>-</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rPr>
            </w:pPr>
            <w:r w:rsidRPr="004610E1">
              <w:rPr>
                <w:rFonts w:eastAsia="Calibri"/>
              </w:rPr>
              <w:t>CONHS – 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4</w:t>
            </w:r>
          </w:p>
        </w:tc>
        <w:tc>
          <w:tcPr>
            <w:tcW w:w="909" w:type="dxa"/>
          </w:tcPr>
          <w:p w:rsidR="0095718F" w:rsidRPr="004610E1" w:rsidRDefault="0095718F" w:rsidP="0095718F">
            <w:pPr>
              <w:jc w:val="center"/>
              <w:rPr>
                <w:rFonts w:eastAsia="Calibri"/>
                <w:color w:val="333333"/>
              </w:rPr>
            </w:pPr>
            <w:r w:rsidRPr="004610E1">
              <w:rPr>
                <w:rFonts w:eastAsia="Calibri"/>
                <w:color w:val="333333"/>
              </w:rPr>
              <w:t>3</w:t>
            </w:r>
          </w:p>
        </w:tc>
        <w:tc>
          <w:tcPr>
            <w:tcW w:w="1231" w:type="dxa"/>
          </w:tcPr>
          <w:p w:rsidR="0095718F" w:rsidRPr="004610E1" w:rsidRDefault="0095718F" w:rsidP="0095718F">
            <w:pPr>
              <w:jc w:val="center"/>
              <w:rPr>
                <w:rFonts w:eastAsia="Calibri"/>
                <w:color w:val="333333"/>
              </w:rPr>
            </w:pPr>
            <w:r w:rsidRPr="004610E1">
              <w:rPr>
                <w:rFonts w:eastAsia="Calibri"/>
                <w:color w:val="333333"/>
              </w:rPr>
              <w:t>2</w:t>
            </w:r>
          </w:p>
        </w:tc>
        <w:tc>
          <w:tcPr>
            <w:tcW w:w="1147" w:type="dxa"/>
          </w:tcPr>
          <w:p w:rsidR="0095718F" w:rsidRPr="004610E1" w:rsidRDefault="0095718F" w:rsidP="0095718F">
            <w:pPr>
              <w:jc w:val="center"/>
              <w:rPr>
                <w:rFonts w:eastAsia="Calibri"/>
                <w:color w:val="333333"/>
              </w:rPr>
            </w:pPr>
            <w:r w:rsidRPr="004610E1">
              <w:rPr>
                <w:rFonts w:eastAsia="Calibri"/>
                <w:color w:val="333333"/>
              </w:rPr>
              <w:t>2</w:t>
            </w:r>
          </w:p>
        </w:tc>
        <w:tc>
          <w:tcPr>
            <w:tcW w:w="1097" w:type="dxa"/>
          </w:tcPr>
          <w:p w:rsidR="0095718F" w:rsidRPr="004610E1" w:rsidRDefault="0095718F" w:rsidP="0095718F">
            <w:pPr>
              <w:jc w:val="center"/>
              <w:rPr>
                <w:rFonts w:eastAsia="Calibri"/>
                <w:color w:val="333333"/>
              </w:rPr>
            </w:pPr>
            <w:r w:rsidRPr="004610E1">
              <w:rPr>
                <w:rFonts w:eastAsia="Calibri"/>
                <w:color w:val="333333"/>
              </w:rPr>
              <w:t>4</w:t>
            </w:r>
          </w:p>
        </w:tc>
        <w:tc>
          <w:tcPr>
            <w:tcW w:w="789" w:type="dxa"/>
          </w:tcPr>
          <w:p w:rsidR="0095718F" w:rsidRPr="004610E1" w:rsidRDefault="0095718F" w:rsidP="0095718F">
            <w:pPr>
              <w:jc w:val="center"/>
              <w:rPr>
                <w:rFonts w:eastAsia="Calibri"/>
                <w:color w:val="333333"/>
              </w:rPr>
            </w:pPr>
            <w:r w:rsidRPr="004610E1">
              <w:rPr>
                <w:rFonts w:eastAsia="Calibri"/>
                <w:color w:val="333333"/>
              </w:rPr>
              <w:t>3</w:t>
            </w:r>
          </w:p>
        </w:tc>
      </w:tr>
      <w:tr w:rsidR="0095718F" w:rsidRPr="004610E1" w:rsidTr="0095718F">
        <w:tc>
          <w:tcPr>
            <w:tcW w:w="3014" w:type="dxa"/>
          </w:tcPr>
          <w:p w:rsidR="0095718F" w:rsidRPr="004610E1" w:rsidRDefault="0095718F" w:rsidP="0095718F">
            <w:pPr>
              <w:rPr>
                <w:rFonts w:eastAsia="Calibri"/>
              </w:rPr>
            </w:pPr>
            <w:r w:rsidRPr="004610E1">
              <w:rPr>
                <w:rFonts w:eastAsia="Calibri"/>
              </w:rPr>
              <w:t>COSE – Undergraduate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4</w:t>
            </w:r>
          </w:p>
        </w:tc>
        <w:tc>
          <w:tcPr>
            <w:tcW w:w="1231" w:type="dxa"/>
          </w:tcPr>
          <w:p w:rsidR="0095718F" w:rsidRPr="004610E1" w:rsidRDefault="0095718F" w:rsidP="0095718F">
            <w:pPr>
              <w:jc w:val="center"/>
              <w:rPr>
                <w:rFonts w:eastAsia="Calibri"/>
                <w:color w:val="333333"/>
              </w:rPr>
            </w:pPr>
            <w:r w:rsidRPr="004610E1">
              <w:rPr>
                <w:rFonts w:eastAsia="Calibri"/>
                <w:color w:val="333333"/>
              </w:rPr>
              <w:t>36</w:t>
            </w:r>
          </w:p>
        </w:tc>
        <w:tc>
          <w:tcPr>
            <w:tcW w:w="1147" w:type="dxa"/>
          </w:tcPr>
          <w:p w:rsidR="0095718F" w:rsidRPr="004610E1" w:rsidRDefault="0095718F" w:rsidP="0095718F">
            <w:pPr>
              <w:jc w:val="center"/>
              <w:rPr>
                <w:rFonts w:eastAsia="Calibri"/>
                <w:color w:val="333333"/>
              </w:rPr>
            </w:pPr>
            <w:r w:rsidRPr="004610E1">
              <w:rPr>
                <w:rFonts w:eastAsia="Calibri"/>
                <w:color w:val="333333"/>
              </w:rPr>
              <w:t>13</w:t>
            </w:r>
          </w:p>
        </w:tc>
        <w:tc>
          <w:tcPr>
            <w:tcW w:w="1097" w:type="dxa"/>
          </w:tcPr>
          <w:p w:rsidR="0095718F" w:rsidRPr="004610E1" w:rsidRDefault="0095718F" w:rsidP="0095718F">
            <w:pPr>
              <w:jc w:val="center"/>
              <w:rPr>
                <w:rFonts w:eastAsia="Calibri"/>
                <w:color w:val="333333"/>
              </w:rPr>
            </w:pPr>
            <w:r w:rsidRPr="004610E1">
              <w:rPr>
                <w:rFonts w:eastAsia="Calibri"/>
                <w:color w:val="333333"/>
              </w:rPr>
              <w:t>22</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rPr>
            </w:pPr>
            <w:r w:rsidRPr="004610E1">
              <w:rPr>
                <w:rFonts w:eastAsia="Calibri"/>
              </w:rPr>
              <w:t>COSE – Graduate Programs</w:t>
            </w:r>
          </w:p>
        </w:tc>
        <w:tc>
          <w:tcPr>
            <w:tcW w:w="1163" w:type="dxa"/>
          </w:tcPr>
          <w:p w:rsidR="0095718F" w:rsidRPr="004610E1" w:rsidRDefault="0095718F" w:rsidP="0095718F">
            <w:pPr>
              <w:jc w:val="center"/>
              <w:rPr>
                <w:rFonts w:eastAsia="Calibri"/>
                <w:color w:val="333333"/>
              </w:rPr>
            </w:pPr>
            <w:r w:rsidRPr="004610E1">
              <w:rPr>
                <w:rFonts w:eastAsia="Calibri"/>
                <w:color w:val="333333"/>
              </w:rPr>
              <w:t>4</w:t>
            </w:r>
          </w:p>
        </w:tc>
        <w:tc>
          <w:tcPr>
            <w:tcW w:w="909" w:type="dxa"/>
          </w:tcPr>
          <w:p w:rsidR="0095718F" w:rsidRPr="004610E1" w:rsidRDefault="0095718F" w:rsidP="0095718F">
            <w:pPr>
              <w:jc w:val="center"/>
              <w:rPr>
                <w:rFonts w:eastAsia="Calibri"/>
                <w:color w:val="333333"/>
              </w:rPr>
            </w:pPr>
            <w:r w:rsidRPr="004610E1">
              <w:rPr>
                <w:rFonts w:eastAsia="Calibri"/>
                <w:color w:val="333333"/>
              </w:rPr>
              <w:t>1</w:t>
            </w:r>
          </w:p>
        </w:tc>
        <w:tc>
          <w:tcPr>
            <w:tcW w:w="1231" w:type="dxa"/>
          </w:tcPr>
          <w:p w:rsidR="0095718F" w:rsidRPr="004610E1" w:rsidRDefault="0095718F" w:rsidP="0095718F">
            <w:pPr>
              <w:jc w:val="center"/>
              <w:rPr>
                <w:rFonts w:eastAsia="Calibri"/>
                <w:color w:val="333333"/>
              </w:rPr>
            </w:pPr>
            <w:r w:rsidRPr="004610E1">
              <w:rPr>
                <w:rFonts w:eastAsia="Calibri"/>
                <w:color w:val="333333"/>
              </w:rPr>
              <w:t>15</w:t>
            </w:r>
          </w:p>
        </w:tc>
        <w:tc>
          <w:tcPr>
            <w:tcW w:w="1147" w:type="dxa"/>
          </w:tcPr>
          <w:p w:rsidR="0095718F" w:rsidRPr="004610E1" w:rsidRDefault="0095718F" w:rsidP="0095718F">
            <w:pPr>
              <w:jc w:val="center"/>
              <w:rPr>
                <w:rFonts w:eastAsia="Calibri"/>
                <w:color w:val="333333"/>
              </w:rPr>
            </w:pPr>
            <w:r w:rsidRPr="004610E1">
              <w:rPr>
                <w:rFonts w:eastAsia="Calibri"/>
                <w:color w:val="333333"/>
              </w:rPr>
              <w:t>8</w:t>
            </w:r>
          </w:p>
        </w:tc>
        <w:tc>
          <w:tcPr>
            <w:tcW w:w="1097" w:type="dxa"/>
          </w:tcPr>
          <w:p w:rsidR="0095718F" w:rsidRPr="004610E1" w:rsidRDefault="0095718F" w:rsidP="0095718F">
            <w:pPr>
              <w:jc w:val="center"/>
              <w:rPr>
                <w:rFonts w:eastAsia="Calibri"/>
                <w:color w:val="333333"/>
              </w:rPr>
            </w:pPr>
            <w:r w:rsidRPr="004610E1">
              <w:rPr>
                <w:rFonts w:eastAsia="Calibri"/>
                <w:color w:val="333333"/>
              </w:rPr>
              <w:t>15</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color w:val="333333"/>
              </w:rPr>
            </w:pPr>
            <w:r w:rsidRPr="004610E1">
              <w:rPr>
                <w:rFonts w:eastAsia="Calibri"/>
                <w:color w:val="333333"/>
              </w:rPr>
              <w:t>UCCP</w:t>
            </w:r>
          </w:p>
        </w:tc>
        <w:tc>
          <w:tcPr>
            <w:tcW w:w="1163" w:type="dxa"/>
          </w:tcPr>
          <w:p w:rsidR="0095718F" w:rsidRPr="004610E1" w:rsidRDefault="0095718F" w:rsidP="0095718F">
            <w:pPr>
              <w:jc w:val="center"/>
              <w:rPr>
                <w:rFonts w:eastAsia="Calibri"/>
                <w:color w:val="333333"/>
              </w:rPr>
            </w:pPr>
            <w:r w:rsidRPr="004610E1">
              <w:rPr>
                <w:rFonts w:eastAsia="Calibri"/>
                <w:color w:val="333333"/>
              </w:rPr>
              <w:t>-</w:t>
            </w:r>
          </w:p>
        </w:tc>
        <w:tc>
          <w:tcPr>
            <w:tcW w:w="909" w:type="dxa"/>
          </w:tcPr>
          <w:p w:rsidR="0095718F" w:rsidRPr="004610E1" w:rsidRDefault="0095718F" w:rsidP="0095718F">
            <w:pPr>
              <w:jc w:val="center"/>
              <w:rPr>
                <w:rFonts w:eastAsia="Calibri"/>
                <w:color w:val="333333"/>
              </w:rPr>
            </w:pPr>
            <w:r w:rsidRPr="004610E1">
              <w:rPr>
                <w:rFonts w:eastAsia="Calibri"/>
                <w:color w:val="333333"/>
              </w:rPr>
              <w:t>-</w:t>
            </w:r>
          </w:p>
        </w:tc>
        <w:tc>
          <w:tcPr>
            <w:tcW w:w="1231" w:type="dxa"/>
          </w:tcPr>
          <w:p w:rsidR="0095718F" w:rsidRPr="004610E1" w:rsidRDefault="0095718F" w:rsidP="0095718F">
            <w:pPr>
              <w:jc w:val="center"/>
              <w:rPr>
                <w:rFonts w:eastAsia="Calibri"/>
                <w:color w:val="333333"/>
              </w:rPr>
            </w:pPr>
            <w:r w:rsidRPr="004610E1">
              <w:rPr>
                <w:rFonts w:eastAsia="Calibri"/>
                <w:color w:val="333333"/>
              </w:rPr>
              <w:t>-</w:t>
            </w:r>
          </w:p>
        </w:tc>
        <w:tc>
          <w:tcPr>
            <w:tcW w:w="1147" w:type="dxa"/>
          </w:tcPr>
          <w:p w:rsidR="0095718F" w:rsidRPr="004610E1" w:rsidRDefault="0095718F" w:rsidP="0095718F">
            <w:pPr>
              <w:jc w:val="center"/>
              <w:rPr>
                <w:rFonts w:eastAsia="Calibri"/>
                <w:color w:val="333333"/>
              </w:rPr>
            </w:pPr>
            <w:r w:rsidRPr="004610E1">
              <w:rPr>
                <w:rFonts w:eastAsia="Calibri"/>
                <w:color w:val="333333"/>
              </w:rPr>
              <w:t>3</w:t>
            </w:r>
          </w:p>
        </w:tc>
        <w:tc>
          <w:tcPr>
            <w:tcW w:w="1097" w:type="dxa"/>
          </w:tcPr>
          <w:p w:rsidR="0095718F" w:rsidRPr="004610E1" w:rsidRDefault="0095718F" w:rsidP="0095718F">
            <w:pPr>
              <w:jc w:val="center"/>
              <w:rPr>
                <w:rFonts w:eastAsia="Calibri"/>
                <w:color w:val="333333"/>
              </w:rPr>
            </w:pPr>
            <w:r w:rsidRPr="004610E1">
              <w:rPr>
                <w:rFonts w:eastAsia="Calibri"/>
                <w:color w:val="333333"/>
              </w:rPr>
              <w:t>-</w:t>
            </w:r>
          </w:p>
        </w:tc>
        <w:tc>
          <w:tcPr>
            <w:tcW w:w="789" w:type="dxa"/>
          </w:tcPr>
          <w:p w:rsidR="0095718F" w:rsidRPr="004610E1" w:rsidRDefault="0095718F" w:rsidP="0095718F">
            <w:pPr>
              <w:jc w:val="center"/>
              <w:rPr>
                <w:rFonts w:eastAsia="Calibri"/>
                <w:color w:val="333333"/>
              </w:rPr>
            </w:pPr>
            <w:r w:rsidRPr="004610E1">
              <w:rPr>
                <w:rFonts w:eastAsia="Calibri"/>
                <w:color w:val="333333"/>
              </w:rPr>
              <w:t>-</w:t>
            </w:r>
          </w:p>
        </w:tc>
      </w:tr>
      <w:tr w:rsidR="0095718F" w:rsidRPr="004610E1" w:rsidTr="0095718F">
        <w:tc>
          <w:tcPr>
            <w:tcW w:w="3014" w:type="dxa"/>
          </w:tcPr>
          <w:p w:rsidR="0095718F" w:rsidRPr="004610E1" w:rsidRDefault="0095718F" w:rsidP="0095718F">
            <w:pPr>
              <w:rPr>
                <w:rFonts w:eastAsia="Calibri"/>
                <w:color w:val="333333"/>
              </w:rPr>
            </w:pPr>
            <w:r w:rsidRPr="004610E1">
              <w:rPr>
                <w:rFonts w:eastAsia="Calibri"/>
                <w:color w:val="333333"/>
              </w:rPr>
              <w:t>TOTALS</w:t>
            </w:r>
          </w:p>
        </w:tc>
        <w:tc>
          <w:tcPr>
            <w:tcW w:w="1163" w:type="dxa"/>
          </w:tcPr>
          <w:p w:rsidR="0095718F" w:rsidRPr="004610E1" w:rsidRDefault="0095718F" w:rsidP="0095718F">
            <w:pPr>
              <w:jc w:val="center"/>
              <w:rPr>
                <w:rFonts w:eastAsia="Calibri"/>
                <w:color w:val="333333"/>
              </w:rPr>
            </w:pPr>
            <w:r w:rsidRPr="004610E1">
              <w:rPr>
                <w:rFonts w:eastAsia="Calibri"/>
                <w:color w:val="333333"/>
              </w:rPr>
              <w:t>38</w:t>
            </w:r>
          </w:p>
        </w:tc>
        <w:tc>
          <w:tcPr>
            <w:tcW w:w="909" w:type="dxa"/>
          </w:tcPr>
          <w:p w:rsidR="0095718F" w:rsidRPr="004610E1" w:rsidRDefault="0095718F" w:rsidP="0095718F">
            <w:pPr>
              <w:jc w:val="center"/>
              <w:rPr>
                <w:rFonts w:eastAsia="Calibri"/>
                <w:color w:val="333333"/>
              </w:rPr>
            </w:pPr>
            <w:r w:rsidRPr="004610E1">
              <w:rPr>
                <w:rFonts w:eastAsia="Calibri"/>
                <w:color w:val="333333"/>
              </w:rPr>
              <w:t>11</w:t>
            </w:r>
          </w:p>
        </w:tc>
        <w:tc>
          <w:tcPr>
            <w:tcW w:w="1231" w:type="dxa"/>
          </w:tcPr>
          <w:p w:rsidR="0095718F" w:rsidRPr="004610E1" w:rsidRDefault="0095718F" w:rsidP="0095718F">
            <w:pPr>
              <w:jc w:val="center"/>
              <w:rPr>
                <w:rFonts w:eastAsia="Calibri"/>
                <w:color w:val="333333"/>
              </w:rPr>
            </w:pPr>
            <w:r w:rsidRPr="004610E1">
              <w:rPr>
                <w:rFonts w:eastAsia="Calibri"/>
                <w:color w:val="333333"/>
              </w:rPr>
              <w:t>130</w:t>
            </w:r>
          </w:p>
        </w:tc>
        <w:tc>
          <w:tcPr>
            <w:tcW w:w="1147" w:type="dxa"/>
          </w:tcPr>
          <w:p w:rsidR="0095718F" w:rsidRPr="004610E1" w:rsidRDefault="0095718F" w:rsidP="0095718F">
            <w:pPr>
              <w:jc w:val="center"/>
              <w:rPr>
                <w:rFonts w:eastAsia="Calibri"/>
                <w:color w:val="333333"/>
              </w:rPr>
            </w:pPr>
            <w:r w:rsidRPr="004610E1">
              <w:rPr>
                <w:rFonts w:eastAsia="Calibri"/>
                <w:color w:val="333333"/>
              </w:rPr>
              <w:t>65</w:t>
            </w:r>
          </w:p>
        </w:tc>
        <w:tc>
          <w:tcPr>
            <w:tcW w:w="1097" w:type="dxa"/>
          </w:tcPr>
          <w:p w:rsidR="0095718F" w:rsidRPr="004610E1" w:rsidRDefault="0095718F" w:rsidP="0095718F">
            <w:pPr>
              <w:jc w:val="center"/>
              <w:rPr>
                <w:rFonts w:eastAsia="Calibri"/>
                <w:color w:val="333333"/>
              </w:rPr>
            </w:pPr>
            <w:r w:rsidRPr="004610E1">
              <w:rPr>
                <w:rFonts w:eastAsia="Calibri"/>
                <w:color w:val="333333"/>
              </w:rPr>
              <w:t>118</w:t>
            </w:r>
          </w:p>
        </w:tc>
        <w:tc>
          <w:tcPr>
            <w:tcW w:w="789" w:type="dxa"/>
          </w:tcPr>
          <w:p w:rsidR="0095718F" w:rsidRPr="004610E1" w:rsidRDefault="0095718F" w:rsidP="0095718F">
            <w:pPr>
              <w:jc w:val="center"/>
              <w:rPr>
                <w:rFonts w:eastAsia="Calibri"/>
                <w:color w:val="333333"/>
              </w:rPr>
            </w:pPr>
            <w:r w:rsidRPr="004610E1">
              <w:rPr>
                <w:rFonts w:eastAsia="Calibri"/>
                <w:color w:val="333333"/>
              </w:rPr>
              <w:t>6</w:t>
            </w:r>
          </w:p>
        </w:tc>
      </w:tr>
    </w:tbl>
    <w:p w:rsidR="0095718F" w:rsidRDefault="0095718F" w:rsidP="004610E1">
      <w:pPr>
        <w:rPr>
          <w:rFonts w:eastAsia="Calibri"/>
        </w:rPr>
      </w:pPr>
    </w:p>
    <w:p w:rsidR="0095718F" w:rsidRDefault="0095718F" w:rsidP="004610E1">
      <w:pPr>
        <w:rPr>
          <w:rFonts w:eastAsia="Calibri"/>
        </w:rPr>
      </w:pPr>
    </w:p>
    <w:p w:rsidR="004610E1" w:rsidRPr="004610E1" w:rsidRDefault="004610E1" w:rsidP="004610E1">
      <w:pPr>
        <w:rPr>
          <w:rFonts w:eastAsia="Calibri"/>
        </w:rPr>
      </w:pPr>
      <w:r w:rsidRPr="004610E1">
        <w:rPr>
          <w:rFonts w:eastAsia="Calibri"/>
        </w:rPr>
        <w:t>Recommendations from the committee for the upcoming year include the following:</w:t>
      </w:r>
    </w:p>
    <w:p w:rsidR="004610E1" w:rsidRPr="004610E1" w:rsidRDefault="004610E1" w:rsidP="004610E1">
      <w:pPr>
        <w:numPr>
          <w:ilvl w:val="0"/>
          <w:numId w:val="12"/>
        </w:numPr>
        <w:contextualSpacing/>
        <w:rPr>
          <w:rFonts w:eastAsia="Calibri"/>
        </w:rPr>
      </w:pPr>
      <w:r w:rsidRPr="004610E1">
        <w:rPr>
          <w:rFonts w:eastAsia="Calibri"/>
        </w:rPr>
        <w:t xml:space="preserve">University Curriculum Committee meets on a monthly basis rather than twice a semester. </w:t>
      </w:r>
    </w:p>
    <w:p w:rsidR="004610E1" w:rsidRPr="004610E1" w:rsidRDefault="004610E1" w:rsidP="004610E1">
      <w:pPr>
        <w:numPr>
          <w:ilvl w:val="0"/>
          <w:numId w:val="12"/>
        </w:numPr>
        <w:contextualSpacing/>
        <w:rPr>
          <w:rFonts w:eastAsia="Calibri"/>
        </w:rPr>
      </w:pPr>
      <w:r w:rsidRPr="004610E1">
        <w:rPr>
          <w:rFonts w:eastAsia="Calibri"/>
        </w:rPr>
        <w:t>Meetings of the UCC be specific to colleges or undergraduate/graduate level.</w:t>
      </w:r>
    </w:p>
    <w:p w:rsidR="004610E1" w:rsidRPr="004610E1" w:rsidRDefault="004610E1" w:rsidP="004610E1">
      <w:pPr>
        <w:numPr>
          <w:ilvl w:val="0"/>
          <w:numId w:val="12"/>
        </w:numPr>
        <w:contextualSpacing/>
        <w:rPr>
          <w:rFonts w:eastAsia="Calibri"/>
        </w:rPr>
      </w:pPr>
      <w:r w:rsidRPr="004610E1">
        <w:rPr>
          <w:rFonts w:eastAsia="Calibri"/>
        </w:rPr>
        <w:t>Implement a review process similar to the IRB. Items such as correction of typos should not require full review by the committee.</w:t>
      </w:r>
    </w:p>
    <w:p w:rsidR="004610E1" w:rsidRPr="004610E1" w:rsidRDefault="004610E1" w:rsidP="004610E1">
      <w:pPr>
        <w:numPr>
          <w:ilvl w:val="0"/>
          <w:numId w:val="12"/>
        </w:numPr>
        <w:contextualSpacing/>
        <w:rPr>
          <w:rFonts w:eastAsia="Calibri"/>
        </w:rPr>
      </w:pPr>
      <w:r w:rsidRPr="004610E1">
        <w:rPr>
          <w:rFonts w:eastAsia="Calibri"/>
        </w:rPr>
        <w:t xml:space="preserve">Provide an explicit flow chart of the curriculum approval process for faculty. </w:t>
      </w:r>
    </w:p>
    <w:p w:rsidR="004D076A" w:rsidRPr="007427E8" w:rsidRDefault="004B5E6B">
      <w:pPr>
        <w:rPr>
          <w:b/>
        </w:rPr>
      </w:pPr>
      <w:r>
        <w:rPr>
          <w:b/>
        </w:rPr>
        <w:lastRenderedPageBreak/>
        <w:t>I</w:t>
      </w:r>
      <w:r w:rsidR="007427E8">
        <w:rPr>
          <w:b/>
        </w:rPr>
        <w:t xml:space="preserve">I. </w:t>
      </w:r>
      <w:r w:rsidR="004D076A" w:rsidRPr="007427E8">
        <w:rPr>
          <w:b/>
        </w:rPr>
        <w:t>Faculty Affairs</w:t>
      </w:r>
      <w:r w:rsidR="00CF2E10">
        <w:rPr>
          <w:b/>
        </w:rPr>
        <w:t xml:space="preserve"> </w:t>
      </w:r>
      <w:r w:rsidR="00A976D4">
        <w:rPr>
          <w:b/>
        </w:rPr>
        <w:t>– Ms. Cathy Harrell, Chair</w:t>
      </w:r>
    </w:p>
    <w:p w:rsidR="000B4E40" w:rsidRDefault="000B4E40">
      <w:r>
        <w:t xml:space="preserve">The following university rules and procedures were reviewed by the committee-some were notice and comment, while others received a full vote from the </w:t>
      </w:r>
      <w:r w:rsidR="004E76B0">
        <w:t xml:space="preserve">Senate. </w:t>
      </w:r>
    </w:p>
    <w:p w:rsidR="00524AD7" w:rsidRPr="00524AD7" w:rsidRDefault="00524AD7" w:rsidP="00524AD7">
      <w:pPr>
        <w:spacing w:after="0" w:line="240" w:lineRule="auto"/>
        <w:rPr>
          <w:rFonts w:eastAsia="Calibri"/>
        </w:rPr>
      </w:pPr>
      <w:r w:rsidRPr="00524AD7">
        <w:rPr>
          <w:rFonts w:eastAsia="Calibri"/>
        </w:rPr>
        <w:t xml:space="preserve">- 01.01.99.C0.01, Review and Approval of University Rules and Procedures </w:t>
      </w:r>
    </w:p>
    <w:p w:rsidR="00524AD7" w:rsidRPr="00524AD7" w:rsidRDefault="00524AD7" w:rsidP="00524AD7">
      <w:pPr>
        <w:spacing w:after="0" w:line="240" w:lineRule="auto"/>
        <w:rPr>
          <w:rFonts w:eastAsia="Calibri"/>
        </w:rPr>
      </w:pPr>
      <w:r w:rsidRPr="00524AD7">
        <w:rPr>
          <w:rFonts w:eastAsia="Calibri"/>
        </w:rPr>
        <w:t>- 11.99.99.C0.05, Certification of Degrees- returned to deans</w:t>
      </w:r>
    </w:p>
    <w:p w:rsidR="00524AD7" w:rsidRPr="00524AD7" w:rsidRDefault="00524AD7" w:rsidP="00524AD7">
      <w:pPr>
        <w:spacing w:after="0" w:line="240" w:lineRule="auto"/>
        <w:rPr>
          <w:rFonts w:eastAsia="Calibri"/>
        </w:rPr>
      </w:pPr>
      <w:r w:rsidRPr="00524AD7">
        <w:rPr>
          <w:rFonts w:eastAsia="Calibri"/>
        </w:rPr>
        <w:t>- 13.03.99.C0.01, Academic Scholarships</w:t>
      </w:r>
    </w:p>
    <w:p w:rsidR="00524AD7" w:rsidRPr="00524AD7" w:rsidRDefault="00524AD7" w:rsidP="00524AD7">
      <w:pPr>
        <w:spacing w:after="0" w:line="240" w:lineRule="auto"/>
        <w:rPr>
          <w:rFonts w:eastAsia="Calibri"/>
        </w:rPr>
      </w:pPr>
      <w:r w:rsidRPr="00524AD7">
        <w:rPr>
          <w:rFonts w:eastAsia="Calibri"/>
        </w:rPr>
        <w:t>- 13.03.99.C0.02, Athletic Scholarships</w:t>
      </w:r>
    </w:p>
    <w:p w:rsidR="00524AD7" w:rsidRPr="00524AD7" w:rsidRDefault="00524AD7" w:rsidP="00524AD7">
      <w:pPr>
        <w:spacing w:after="0" w:line="240" w:lineRule="auto"/>
        <w:rPr>
          <w:rFonts w:eastAsia="Calibri"/>
        </w:rPr>
      </w:pPr>
      <w:r w:rsidRPr="00524AD7">
        <w:rPr>
          <w:rFonts w:eastAsia="Calibri"/>
        </w:rPr>
        <w:t>- 13.99.99.C0.04, Incapacitation or Death of a Student</w:t>
      </w:r>
    </w:p>
    <w:p w:rsidR="00524AD7" w:rsidRPr="00524AD7" w:rsidRDefault="00524AD7" w:rsidP="00524AD7">
      <w:pPr>
        <w:spacing w:after="0" w:line="240" w:lineRule="auto"/>
        <w:rPr>
          <w:rFonts w:eastAsia="Calibri"/>
        </w:rPr>
      </w:pPr>
      <w:bookmarkStart w:id="1" w:name="_Hlk529785042"/>
      <w:r w:rsidRPr="00524AD7">
        <w:rPr>
          <w:rFonts w:eastAsia="Calibri"/>
        </w:rPr>
        <w:t>- 12.04.99.C0.01, Faculty Senate</w:t>
      </w:r>
    </w:p>
    <w:p w:rsidR="00524AD7" w:rsidRPr="00524AD7" w:rsidRDefault="00524AD7" w:rsidP="00524AD7">
      <w:pPr>
        <w:spacing w:after="0" w:line="240" w:lineRule="auto"/>
        <w:rPr>
          <w:rFonts w:eastAsia="Calibri"/>
        </w:rPr>
      </w:pPr>
      <w:r w:rsidRPr="00524AD7">
        <w:rPr>
          <w:rFonts w:eastAsia="Calibri"/>
        </w:rPr>
        <w:t>- 12.06.99.C0.01, Post-Tenure Review</w:t>
      </w:r>
    </w:p>
    <w:p w:rsidR="00524AD7" w:rsidRPr="00524AD7" w:rsidRDefault="00524AD7" w:rsidP="00524AD7">
      <w:pPr>
        <w:spacing w:after="0" w:line="240" w:lineRule="auto"/>
        <w:rPr>
          <w:rFonts w:eastAsia="Calibri"/>
        </w:rPr>
      </w:pPr>
      <w:r w:rsidRPr="00524AD7">
        <w:rPr>
          <w:rFonts w:eastAsia="Calibri"/>
        </w:rPr>
        <w:t>- 13.99.99.C0.04, Midterm Grades</w:t>
      </w:r>
    </w:p>
    <w:p w:rsidR="00524AD7" w:rsidRPr="00524AD7" w:rsidRDefault="00524AD7" w:rsidP="00524AD7">
      <w:pPr>
        <w:spacing w:after="0" w:line="240" w:lineRule="auto"/>
        <w:rPr>
          <w:rFonts w:eastAsia="Calibri"/>
        </w:rPr>
      </w:pPr>
      <w:bookmarkStart w:id="2" w:name="_Hlk529785228"/>
      <w:r w:rsidRPr="00524AD7">
        <w:rPr>
          <w:rFonts w:eastAsia="Calibri"/>
        </w:rPr>
        <w:t xml:space="preserve">-11.10.99.C0.01 Development of Academic Degree Programs </w:t>
      </w:r>
      <w:r w:rsidRPr="00524AD7">
        <w:rPr>
          <w:rFonts w:eastAsia="Times New Roman"/>
          <w:b/>
          <w:bCs/>
        </w:rPr>
        <w:t>N&amp;C</w:t>
      </w:r>
    </w:p>
    <w:p w:rsidR="00524AD7" w:rsidRPr="00524AD7" w:rsidRDefault="00524AD7" w:rsidP="00524AD7">
      <w:pPr>
        <w:spacing w:after="0" w:line="240" w:lineRule="auto"/>
        <w:rPr>
          <w:rFonts w:eastAsia="Calibri"/>
        </w:rPr>
      </w:pPr>
      <w:r w:rsidRPr="00524AD7">
        <w:rPr>
          <w:rFonts w:eastAsia="Calibri"/>
        </w:rPr>
        <w:t xml:space="preserve">-11.10.99.C0.04 Distance Education Programs </w:t>
      </w:r>
      <w:r w:rsidRPr="00524AD7">
        <w:rPr>
          <w:rFonts w:eastAsia="Times New Roman"/>
          <w:b/>
          <w:bCs/>
        </w:rPr>
        <w:t>N&amp;C</w:t>
      </w:r>
    </w:p>
    <w:p w:rsidR="00524AD7" w:rsidRPr="00524AD7" w:rsidRDefault="00524AD7" w:rsidP="00524AD7">
      <w:pPr>
        <w:spacing w:after="0" w:line="240" w:lineRule="auto"/>
        <w:rPr>
          <w:rFonts w:eastAsia="Calibri"/>
        </w:rPr>
      </w:pPr>
      <w:r w:rsidRPr="00524AD7">
        <w:rPr>
          <w:rFonts w:eastAsia="Calibri"/>
        </w:rPr>
        <w:t xml:space="preserve">-11.10.99.C0.02 Development of Certificate Programs </w:t>
      </w:r>
      <w:r w:rsidRPr="00524AD7">
        <w:rPr>
          <w:rFonts w:eastAsia="Times New Roman"/>
          <w:b/>
          <w:bCs/>
        </w:rPr>
        <w:t>N&amp;C</w:t>
      </w:r>
    </w:p>
    <w:bookmarkEnd w:id="2"/>
    <w:p w:rsidR="00524AD7" w:rsidRPr="00524AD7" w:rsidRDefault="00524AD7" w:rsidP="00524AD7">
      <w:pPr>
        <w:spacing w:after="0" w:line="240" w:lineRule="auto"/>
        <w:rPr>
          <w:rFonts w:eastAsia="Calibri"/>
        </w:rPr>
      </w:pPr>
      <w:r w:rsidRPr="00524AD7">
        <w:rPr>
          <w:rFonts w:eastAsia="Calibri"/>
        </w:rPr>
        <w:t>- 08.01.01.C1, Civil Rights Compliance</w:t>
      </w:r>
    </w:p>
    <w:p w:rsidR="00524AD7" w:rsidRPr="00524AD7" w:rsidRDefault="00524AD7" w:rsidP="00524AD7">
      <w:pPr>
        <w:spacing w:after="0" w:line="240" w:lineRule="auto"/>
        <w:rPr>
          <w:rFonts w:eastAsia="Calibri"/>
        </w:rPr>
      </w:pPr>
      <w:r w:rsidRPr="00524AD7">
        <w:rPr>
          <w:rFonts w:eastAsia="Calibri"/>
        </w:rPr>
        <w:t>- 08.01.01.C1.01, Student Pregnancy and Parenting Support</w:t>
      </w:r>
    </w:p>
    <w:p w:rsidR="00524AD7" w:rsidRPr="00524AD7" w:rsidRDefault="00524AD7" w:rsidP="00524AD7">
      <w:pPr>
        <w:spacing w:after="0" w:line="240" w:lineRule="auto"/>
        <w:rPr>
          <w:rFonts w:eastAsia="Calibri"/>
        </w:rPr>
      </w:pPr>
      <w:r w:rsidRPr="00524AD7">
        <w:rPr>
          <w:rFonts w:eastAsia="Calibri"/>
        </w:rPr>
        <w:t>- 08.01.01.C1.02, Student Sexual Assault Incident Coordination</w:t>
      </w:r>
    </w:p>
    <w:p w:rsidR="00524AD7" w:rsidRPr="00524AD7" w:rsidRDefault="00524AD7" w:rsidP="00524AD7">
      <w:pPr>
        <w:spacing w:after="0" w:line="240" w:lineRule="auto"/>
        <w:rPr>
          <w:rFonts w:eastAsia="Calibri"/>
        </w:rPr>
      </w:pPr>
      <w:r w:rsidRPr="00524AD7">
        <w:rPr>
          <w:rFonts w:eastAsia="Calibri"/>
        </w:rPr>
        <w:t>- 08.01.01.C1.03, Request for Religious Accommodations</w:t>
      </w:r>
    </w:p>
    <w:p w:rsidR="00524AD7" w:rsidRPr="00524AD7" w:rsidRDefault="00524AD7" w:rsidP="00524AD7">
      <w:pPr>
        <w:spacing w:after="0" w:line="240" w:lineRule="auto"/>
        <w:rPr>
          <w:rFonts w:eastAsia="Calibri"/>
        </w:rPr>
      </w:pPr>
      <w:r w:rsidRPr="00524AD7">
        <w:rPr>
          <w:rFonts w:eastAsia="Calibri"/>
        </w:rPr>
        <w:t>- 08.01.02.C0.01, Reasonable Accommodation Requests for Employees and Applicants</w:t>
      </w:r>
    </w:p>
    <w:p w:rsidR="00524AD7" w:rsidRPr="00524AD7" w:rsidRDefault="00524AD7" w:rsidP="00524AD7">
      <w:pPr>
        <w:spacing w:after="0" w:line="240" w:lineRule="auto"/>
        <w:rPr>
          <w:rFonts w:eastAsia="Calibri"/>
        </w:rPr>
      </w:pPr>
      <w:r w:rsidRPr="00524AD7">
        <w:rPr>
          <w:rFonts w:eastAsia="Calibri"/>
        </w:rPr>
        <w:t>- 08.01.02.C0.02, Accommodations at University Facilities and Events</w:t>
      </w:r>
    </w:p>
    <w:p w:rsidR="00524AD7" w:rsidRPr="00524AD7" w:rsidRDefault="00524AD7" w:rsidP="00524AD7">
      <w:pPr>
        <w:spacing w:after="0" w:line="240" w:lineRule="auto"/>
        <w:rPr>
          <w:rFonts w:eastAsia="Calibri"/>
        </w:rPr>
      </w:pPr>
      <w:r w:rsidRPr="00524AD7">
        <w:rPr>
          <w:rFonts w:eastAsia="Calibri"/>
        </w:rPr>
        <w:t>- 08.01.02.C0.03, Service and Emotional Support Animals</w:t>
      </w:r>
    </w:p>
    <w:p w:rsidR="00524AD7" w:rsidRPr="00524AD7" w:rsidRDefault="00524AD7" w:rsidP="00524AD7">
      <w:pPr>
        <w:spacing w:after="0" w:line="240" w:lineRule="auto"/>
        <w:rPr>
          <w:rFonts w:eastAsia="Calibri"/>
        </w:rPr>
      </w:pPr>
      <w:r w:rsidRPr="00524AD7">
        <w:rPr>
          <w:rFonts w:eastAsia="Calibri"/>
        </w:rPr>
        <w:t>- 11.99.99.C0.05, Certification of Degrees</w:t>
      </w:r>
    </w:p>
    <w:p w:rsidR="00524AD7" w:rsidRPr="00524AD7" w:rsidRDefault="00524AD7" w:rsidP="00524AD7">
      <w:pPr>
        <w:spacing w:after="0" w:line="240" w:lineRule="auto"/>
        <w:rPr>
          <w:rFonts w:eastAsia="Calibri"/>
        </w:rPr>
      </w:pPr>
      <w:r w:rsidRPr="00524AD7">
        <w:rPr>
          <w:rFonts w:eastAsia="Calibri"/>
        </w:rPr>
        <w:t>- 21.05.01.C0.02, Endowed Faculty Positions</w:t>
      </w:r>
    </w:p>
    <w:bookmarkEnd w:id="1"/>
    <w:p w:rsidR="00524AD7" w:rsidRPr="00524AD7" w:rsidRDefault="00524AD7" w:rsidP="00524AD7">
      <w:pPr>
        <w:spacing w:after="0" w:line="240" w:lineRule="auto"/>
        <w:rPr>
          <w:rFonts w:eastAsia="Times New Roman"/>
          <w:color w:val="000000"/>
        </w:rPr>
      </w:pPr>
      <w:r w:rsidRPr="00524AD7">
        <w:rPr>
          <w:rFonts w:eastAsia="Times New Roman"/>
          <w:color w:val="000000"/>
        </w:rPr>
        <w:t xml:space="preserve">-15.99.01.C1 Use of Human </w:t>
      </w:r>
      <w:r w:rsidR="00E3485E">
        <w:rPr>
          <w:rFonts w:eastAsia="Times New Roman"/>
          <w:color w:val="000000"/>
        </w:rPr>
        <w:t>Su</w:t>
      </w:r>
      <w:r w:rsidRPr="00524AD7">
        <w:rPr>
          <w:rFonts w:eastAsia="Times New Roman"/>
          <w:color w:val="000000"/>
        </w:rPr>
        <w:t>bjects</w:t>
      </w:r>
    </w:p>
    <w:p w:rsidR="00524AD7" w:rsidRPr="00524AD7" w:rsidRDefault="00524AD7" w:rsidP="00524AD7">
      <w:pPr>
        <w:spacing w:after="0" w:line="240" w:lineRule="auto"/>
        <w:rPr>
          <w:rFonts w:eastAsia="Times New Roman"/>
        </w:rPr>
      </w:pPr>
      <w:r w:rsidRPr="00524AD7">
        <w:rPr>
          <w:rFonts w:eastAsia="Times New Roman"/>
        </w:rPr>
        <w:t xml:space="preserve">-12.99.99.C0.03, Designation of Graduate Faculty </w:t>
      </w:r>
      <w:r w:rsidRPr="00524AD7">
        <w:rPr>
          <w:rFonts w:eastAsia="Times New Roman"/>
          <w:b/>
          <w:bCs/>
        </w:rPr>
        <w:t>N&amp;C</w:t>
      </w:r>
      <w:r w:rsidRPr="00524AD7">
        <w:rPr>
          <w:rFonts w:eastAsia="Times New Roman"/>
        </w:rPr>
        <w:t xml:space="preserve"> </w:t>
      </w:r>
    </w:p>
    <w:p w:rsidR="00524AD7" w:rsidRPr="00524AD7" w:rsidRDefault="00524AD7" w:rsidP="00524AD7">
      <w:pPr>
        <w:spacing w:after="0" w:line="240" w:lineRule="auto"/>
        <w:rPr>
          <w:rFonts w:eastAsia="Times New Roman"/>
        </w:rPr>
      </w:pPr>
      <w:r w:rsidRPr="00524AD7">
        <w:rPr>
          <w:rFonts w:eastAsia="Times New Roman"/>
        </w:rPr>
        <w:t>-15.01.05.C0.01, Finance and Administrative Costs of Extramural Projects</w:t>
      </w:r>
    </w:p>
    <w:p w:rsidR="00524AD7" w:rsidRPr="00524AD7" w:rsidRDefault="00524AD7" w:rsidP="00524AD7">
      <w:pPr>
        <w:spacing w:after="0" w:line="240" w:lineRule="auto"/>
        <w:rPr>
          <w:rFonts w:eastAsia="Times New Roman"/>
        </w:rPr>
      </w:pPr>
      <w:r w:rsidRPr="00524AD7">
        <w:rPr>
          <w:rFonts w:eastAsia="Times New Roman"/>
        </w:rPr>
        <w:t>-1.01.08.C1, Merit Pay</w:t>
      </w:r>
    </w:p>
    <w:p w:rsidR="00524AD7" w:rsidRPr="00524AD7" w:rsidRDefault="00524AD7" w:rsidP="00524AD7">
      <w:pPr>
        <w:spacing w:after="0" w:line="240" w:lineRule="auto"/>
        <w:rPr>
          <w:rFonts w:eastAsia="Times New Roman"/>
        </w:rPr>
      </w:pPr>
      <w:r w:rsidRPr="00524AD7">
        <w:rPr>
          <w:rFonts w:eastAsia="Times New Roman"/>
        </w:rPr>
        <w:t>-31.01.08.C1.01, Merit Pay for Faculty</w:t>
      </w:r>
    </w:p>
    <w:p w:rsidR="00524AD7" w:rsidRPr="00524AD7" w:rsidRDefault="00524AD7" w:rsidP="00524AD7">
      <w:pPr>
        <w:spacing w:after="0" w:line="240" w:lineRule="auto"/>
        <w:rPr>
          <w:rFonts w:eastAsia="Times New Roman"/>
        </w:rPr>
      </w:pPr>
      <w:r w:rsidRPr="00524AD7">
        <w:rPr>
          <w:rFonts w:eastAsia="Times New Roman"/>
        </w:rPr>
        <w:t>-12.02.99.C0.01, Tenure</w:t>
      </w:r>
    </w:p>
    <w:p w:rsidR="00524AD7" w:rsidRPr="00524AD7" w:rsidRDefault="00524AD7" w:rsidP="00524AD7">
      <w:pPr>
        <w:spacing w:after="0" w:line="240" w:lineRule="auto"/>
        <w:rPr>
          <w:rFonts w:eastAsia="Times New Roman"/>
        </w:rPr>
      </w:pPr>
      <w:r w:rsidRPr="00524AD7">
        <w:rPr>
          <w:rFonts w:eastAsia="Times New Roman"/>
        </w:rPr>
        <w:t>-33.99.04.C0.02, Promotion of Tenured and Tenure-track Faculty Members</w:t>
      </w:r>
    </w:p>
    <w:p w:rsidR="00524AD7" w:rsidRPr="00524AD7" w:rsidRDefault="00524AD7" w:rsidP="00524AD7">
      <w:pPr>
        <w:spacing w:after="0" w:line="240" w:lineRule="auto"/>
        <w:rPr>
          <w:rFonts w:eastAsia="Times New Roman"/>
        </w:rPr>
      </w:pPr>
      <w:r w:rsidRPr="00524AD7">
        <w:rPr>
          <w:rFonts w:eastAsia="Times New Roman"/>
        </w:rPr>
        <w:t>-33.99.04.C0.04, Promotion of Fixed-term Faculty Librarians</w:t>
      </w:r>
    </w:p>
    <w:p w:rsidR="00524AD7" w:rsidRPr="00524AD7" w:rsidRDefault="00524AD7" w:rsidP="00524AD7">
      <w:pPr>
        <w:spacing w:after="0" w:line="240" w:lineRule="auto"/>
        <w:rPr>
          <w:rFonts w:eastAsia="Times New Roman"/>
        </w:rPr>
      </w:pPr>
      <w:r w:rsidRPr="00524AD7">
        <w:rPr>
          <w:rFonts w:eastAsia="Times New Roman"/>
        </w:rPr>
        <w:t>-33.99.99.C0.02, Performance Reviews of Full-time Faculty Members</w:t>
      </w:r>
    </w:p>
    <w:p w:rsidR="00524AD7" w:rsidRPr="00524AD7" w:rsidRDefault="00524AD7" w:rsidP="00524AD7">
      <w:pPr>
        <w:spacing w:after="0" w:line="240" w:lineRule="auto"/>
        <w:rPr>
          <w:rFonts w:eastAsia="Times New Roman"/>
        </w:rPr>
      </w:pPr>
      <w:r w:rsidRPr="00524AD7">
        <w:rPr>
          <w:rFonts w:eastAsia="Times New Roman"/>
        </w:rPr>
        <w:t>-13.02.99.C0.03, Student Grade Appeals</w:t>
      </w:r>
    </w:p>
    <w:p w:rsidR="00524AD7" w:rsidRPr="00524AD7" w:rsidRDefault="00524AD7" w:rsidP="00524AD7">
      <w:pPr>
        <w:spacing w:after="0" w:line="240" w:lineRule="auto"/>
        <w:rPr>
          <w:rFonts w:eastAsia="Times New Roman"/>
        </w:rPr>
      </w:pPr>
      <w:r w:rsidRPr="00524AD7">
        <w:rPr>
          <w:rFonts w:eastAsia="Times New Roman"/>
        </w:rPr>
        <w:t>-13.02.99.C0.04, Student Academic Misconduct Cases</w:t>
      </w:r>
    </w:p>
    <w:p w:rsidR="00524AD7" w:rsidRPr="00524AD7" w:rsidRDefault="00524AD7" w:rsidP="00524AD7">
      <w:pPr>
        <w:spacing w:after="0" w:line="240" w:lineRule="auto"/>
        <w:rPr>
          <w:rFonts w:eastAsia="Times New Roman"/>
        </w:rPr>
      </w:pPr>
      <w:r w:rsidRPr="00524AD7">
        <w:rPr>
          <w:rFonts w:eastAsia="Times New Roman"/>
        </w:rPr>
        <w:t xml:space="preserve">-13.02.99.C0.05, Students' Role and Participation in Institutional Decision Making – </w:t>
      </w:r>
      <w:r w:rsidRPr="00524AD7">
        <w:rPr>
          <w:rFonts w:eastAsia="Times New Roman"/>
          <w:b/>
          <w:bCs/>
        </w:rPr>
        <w:t>N&amp;C</w:t>
      </w:r>
    </w:p>
    <w:p w:rsidR="00524AD7" w:rsidRPr="00524AD7" w:rsidRDefault="00524AD7" w:rsidP="00524AD7">
      <w:pPr>
        <w:spacing w:after="0" w:line="240" w:lineRule="auto"/>
        <w:rPr>
          <w:rFonts w:eastAsia="Times New Roman"/>
        </w:rPr>
      </w:pPr>
      <w:r w:rsidRPr="00524AD7">
        <w:rPr>
          <w:rFonts w:eastAsia="Times New Roman"/>
        </w:rPr>
        <w:t xml:space="preserve">-15.01.03.C1, Financial Conflicts of Interest in Sponsored Research – </w:t>
      </w:r>
      <w:r w:rsidRPr="00524AD7">
        <w:rPr>
          <w:rFonts w:eastAsia="Times New Roman"/>
          <w:b/>
          <w:bCs/>
        </w:rPr>
        <w:t>N&amp;C</w:t>
      </w:r>
    </w:p>
    <w:p w:rsidR="00524AD7" w:rsidRPr="00524AD7" w:rsidRDefault="00524AD7" w:rsidP="00524AD7">
      <w:pPr>
        <w:spacing w:after="0" w:line="240" w:lineRule="auto"/>
        <w:rPr>
          <w:rFonts w:eastAsia="Times New Roman"/>
        </w:rPr>
      </w:pPr>
      <w:r w:rsidRPr="00524AD7">
        <w:rPr>
          <w:rFonts w:eastAsia="Times New Roman"/>
        </w:rPr>
        <w:t>-31.05.01.C1, Faculty Consulting</w:t>
      </w:r>
    </w:p>
    <w:p w:rsidR="00524AD7" w:rsidRPr="00524AD7" w:rsidRDefault="00524AD7" w:rsidP="00524AD7">
      <w:pPr>
        <w:spacing w:after="0" w:line="240" w:lineRule="auto"/>
        <w:rPr>
          <w:rFonts w:eastAsia="Times New Roman"/>
        </w:rPr>
      </w:pPr>
      <w:r w:rsidRPr="00524AD7">
        <w:rPr>
          <w:rFonts w:eastAsia="Times New Roman"/>
        </w:rPr>
        <w:t xml:space="preserve">-33.99.08.C0.02, Graduate Assistants – </w:t>
      </w:r>
      <w:r w:rsidRPr="00524AD7">
        <w:rPr>
          <w:rFonts w:eastAsia="Times New Roman"/>
          <w:b/>
          <w:bCs/>
        </w:rPr>
        <w:t>N&amp;C</w:t>
      </w:r>
    </w:p>
    <w:p w:rsidR="00524AD7" w:rsidRPr="00524AD7" w:rsidRDefault="00524AD7" w:rsidP="00524AD7">
      <w:pPr>
        <w:spacing w:after="0" w:line="240" w:lineRule="auto"/>
        <w:rPr>
          <w:rFonts w:eastAsia="Times New Roman"/>
        </w:rPr>
      </w:pPr>
      <w:r w:rsidRPr="00524AD7">
        <w:rPr>
          <w:rFonts w:eastAsia="Times New Roman"/>
        </w:rPr>
        <w:t xml:space="preserve">-41.01.01.C0.01, Use of University Facilities – </w:t>
      </w:r>
      <w:r w:rsidRPr="00524AD7">
        <w:rPr>
          <w:rFonts w:eastAsia="Times New Roman"/>
          <w:b/>
          <w:bCs/>
        </w:rPr>
        <w:t>N&amp;C</w:t>
      </w:r>
    </w:p>
    <w:p w:rsidR="00524AD7" w:rsidRPr="00524AD7" w:rsidRDefault="00524AD7" w:rsidP="00524AD7">
      <w:pPr>
        <w:spacing w:after="0" w:line="240" w:lineRule="auto"/>
        <w:rPr>
          <w:rFonts w:eastAsia="Times New Roman"/>
        </w:rPr>
      </w:pPr>
      <w:r w:rsidRPr="00524AD7">
        <w:rPr>
          <w:rFonts w:eastAsia="Times New Roman"/>
        </w:rPr>
        <w:t>-13.02.99.C0.01, Student Complaints Regarding Faculty</w:t>
      </w:r>
    </w:p>
    <w:p w:rsidR="00524AD7" w:rsidRPr="00524AD7" w:rsidRDefault="00524AD7" w:rsidP="00524AD7">
      <w:pPr>
        <w:spacing w:after="0" w:line="240" w:lineRule="auto"/>
        <w:rPr>
          <w:rFonts w:eastAsia="Times New Roman"/>
        </w:rPr>
      </w:pPr>
      <w:r w:rsidRPr="00524AD7">
        <w:rPr>
          <w:rFonts w:eastAsia="Times New Roman"/>
        </w:rPr>
        <w:t xml:space="preserve">-13.02.99.C0.02, Student Complaints Regarding Staff/Employees </w:t>
      </w:r>
    </w:p>
    <w:p w:rsidR="00524AD7" w:rsidRPr="00524AD7" w:rsidRDefault="00524AD7" w:rsidP="00524AD7">
      <w:pPr>
        <w:spacing w:after="0" w:line="240" w:lineRule="auto"/>
        <w:rPr>
          <w:rFonts w:eastAsia="Times New Roman"/>
        </w:rPr>
      </w:pPr>
      <w:r w:rsidRPr="00524AD7">
        <w:rPr>
          <w:rFonts w:eastAsia="Times New Roman"/>
        </w:rPr>
        <w:t xml:space="preserve">-13.04.99.C1, Student Travel – </w:t>
      </w:r>
      <w:r w:rsidRPr="00524AD7">
        <w:rPr>
          <w:rFonts w:eastAsia="Times New Roman"/>
          <w:b/>
          <w:bCs/>
        </w:rPr>
        <w:t>N&amp;C</w:t>
      </w:r>
    </w:p>
    <w:p w:rsidR="00524AD7" w:rsidRPr="00524AD7" w:rsidRDefault="00524AD7" w:rsidP="00524AD7">
      <w:pPr>
        <w:spacing w:after="0" w:line="240" w:lineRule="auto"/>
        <w:rPr>
          <w:rFonts w:eastAsia="Times New Roman"/>
        </w:rPr>
      </w:pPr>
      <w:r w:rsidRPr="00524AD7">
        <w:rPr>
          <w:rFonts w:eastAsia="Times New Roman"/>
        </w:rPr>
        <w:t xml:space="preserve">-13.04.99.C1.01, Student Travel – </w:t>
      </w:r>
      <w:r w:rsidRPr="00524AD7">
        <w:rPr>
          <w:rFonts w:eastAsia="Times New Roman"/>
          <w:b/>
          <w:bCs/>
        </w:rPr>
        <w:t>N&amp;C</w:t>
      </w:r>
    </w:p>
    <w:p w:rsidR="00524AD7" w:rsidRPr="00524AD7" w:rsidRDefault="00524AD7" w:rsidP="00524AD7">
      <w:pPr>
        <w:spacing w:after="0" w:line="240" w:lineRule="auto"/>
        <w:rPr>
          <w:rFonts w:eastAsia="Times New Roman"/>
        </w:rPr>
      </w:pPr>
      <w:r w:rsidRPr="00524AD7">
        <w:rPr>
          <w:rFonts w:eastAsia="Times New Roman"/>
        </w:rPr>
        <w:t xml:space="preserve">-34.02.01.C1, Drug and Alcohol and Rehabilitation Programs – </w:t>
      </w:r>
      <w:r w:rsidRPr="00524AD7">
        <w:rPr>
          <w:rFonts w:eastAsia="Times New Roman"/>
          <w:b/>
          <w:bCs/>
        </w:rPr>
        <w:t>N&amp;C</w:t>
      </w:r>
    </w:p>
    <w:p w:rsidR="00524AD7" w:rsidRPr="00524AD7" w:rsidRDefault="00524AD7" w:rsidP="00524AD7">
      <w:pPr>
        <w:spacing w:after="0" w:line="240" w:lineRule="auto"/>
        <w:rPr>
          <w:rFonts w:eastAsia="Calibri"/>
        </w:rPr>
      </w:pPr>
      <w:r w:rsidRPr="00524AD7">
        <w:rPr>
          <w:rFonts w:eastAsia="Calibri"/>
        </w:rPr>
        <w:t>-34.07.01.C0.02, Academic Continuity Planning</w:t>
      </w:r>
    </w:p>
    <w:p w:rsidR="00524AD7" w:rsidRPr="00524AD7" w:rsidRDefault="00524AD7" w:rsidP="00524AD7">
      <w:pPr>
        <w:spacing w:after="0" w:line="240" w:lineRule="auto"/>
        <w:rPr>
          <w:rFonts w:eastAsia="Calibri"/>
        </w:rPr>
      </w:pPr>
      <w:r w:rsidRPr="00524AD7">
        <w:rPr>
          <w:rFonts w:eastAsia="Calibri"/>
        </w:rPr>
        <w:lastRenderedPageBreak/>
        <w:t>Resolution for Health Assessment Requirement</w:t>
      </w:r>
    </w:p>
    <w:p w:rsidR="00977497" w:rsidRPr="00977497" w:rsidRDefault="00977497" w:rsidP="00977497">
      <w:pPr>
        <w:spacing w:after="0" w:line="240" w:lineRule="auto"/>
        <w:rPr>
          <w:rFonts w:eastAsia="Times New Roman"/>
        </w:rPr>
      </w:pPr>
      <w:r w:rsidRPr="00977497">
        <w:rPr>
          <w:rFonts w:eastAsia="Times New Roman"/>
          <w:sz w:val="22"/>
          <w:szCs w:val="22"/>
        </w:rPr>
        <w:t> </w:t>
      </w:r>
    </w:p>
    <w:p w:rsidR="002143AC" w:rsidRDefault="002143AC" w:rsidP="000B4E40">
      <w:pPr>
        <w:spacing w:line="240" w:lineRule="auto"/>
        <w:contextualSpacing/>
      </w:pPr>
    </w:p>
    <w:p w:rsidR="009E630B" w:rsidRDefault="009E630B" w:rsidP="000B4E40">
      <w:pPr>
        <w:spacing w:line="240" w:lineRule="auto"/>
        <w:contextualSpacing/>
        <w:rPr>
          <w:b/>
        </w:rPr>
      </w:pPr>
      <w:r>
        <w:rPr>
          <w:b/>
        </w:rPr>
        <w:t>I</w:t>
      </w:r>
      <w:r w:rsidR="004B5E6B">
        <w:rPr>
          <w:b/>
        </w:rPr>
        <w:t>II</w:t>
      </w:r>
      <w:r>
        <w:rPr>
          <w:b/>
        </w:rPr>
        <w:t xml:space="preserve">. Committee on </w:t>
      </w:r>
      <w:r w:rsidR="00A5191F">
        <w:rPr>
          <w:b/>
        </w:rPr>
        <w:t>Committees</w:t>
      </w:r>
      <w:r w:rsidR="00A976D4">
        <w:rPr>
          <w:b/>
        </w:rPr>
        <w:t xml:space="preserve"> – Dr. David Smith, Chair</w:t>
      </w:r>
    </w:p>
    <w:p w:rsidR="004458EA" w:rsidRDefault="004458EA" w:rsidP="000B4E40">
      <w:pPr>
        <w:spacing w:line="240" w:lineRule="auto"/>
        <w:contextualSpacing/>
        <w:rPr>
          <w:b/>
        </w:rPr>
      </w:pPr>
    </w:p>
    <w:p w:rsidR="00623576" w:rsidRPr="00623576" w:rsidRDefault="00623576" w:rsidP="00623576">
      <w:pPr>
        <w:pStyle w:val="ListParagraph"/>
        <w:numPr>
          <w:ilvl w:val="0"/>
          <w:numId w:val="14"/>
        </w:numPr>
        <w:rPr>
          <w:rFonts w:ascii="Times New Roman" w:hAnsi="Times New Roman" w:cs="Times New Roman"/>
          <w:sz w:val="24"/>
          <w:szCs w:val="24"/>
        </w:rPr>
      </w:pPr>
      <w:r w:rsidRPr="00623576">
        <w:rPr>
          <w:rFonts w:ascii="Times New Roman" w:hAnsi="Times New Roman" w:cs="Times New Roman"/>
          <w:sz w:val="24"/>
          <w:szCs w:val="24"/>
        </w:rPr>
        <w:t xml:space="preserve">The Committee on Committees this year brought the Faculty Committee Survey into control by the Faculty Senate and the CoC and will be responsible for its content and administration moving forward. There were 181 responses to the survey this year and we have roughly 70 appointments and recommendations to fulfill for the coming academic term. </w:t>
      </w:r>
    </w:p>
    <w:p w:rsidR="004458EA" w:rsidRDefault="004458EA" w:rsidP="000B4E40">
      <w:pPr>
        <w:spacing w:line="240" w:lineRule="auto"/>
        <w:contextualSpacing/>
      </w:pPr>
    </w:p>
    <w:p w:rsidR="004458EA" w:rsidRDefault="004F5757" w:rsidP="000B4E40">
      <w:pPr>
        <w:spacing w:line="240" w:lineRule="auto"/>
        <w:contextualSpacing/>
        <w:rPr>
          <w:b/>
        </w:rPr>
      </w:pPr>
      <w:r>
        <w:rPr>
          <w:b/>
        </w:rPr>
        <w:t>I</w:t>
      </w:r>
      <w:r w:rsidR="004458EA">
        <w:rPr>
          <w:b/>
        </w:rPr>
        <w:t>V. Awards/Bylaws/Election</w:t>
      </w:r>
      <w:r>
        <w:rPr>
          <w:b/>
        </w:rPr>
        <w:t>s</w:t>
      </w:r>
      <w:r w:rsidR="004458EA">
        <w:rPr>
          <w:b/>
        </w:rPr>
        <w:t xml:space="preserve"> </w:t>
      </w:r>
      <w:r w:rsidR="00A976D4">
        <w:rPr>
          <w:b/>
        </w:rPr>
        <w:t xml:space="preserve">– Dr. </w:t>
      </w:r>
      <w:r w:rsidR="0028715D">
        <w:rPr>
          <w:b/>
        </w:rPr>
        <w:t>Miguel Moreno</w:t>
      </w:r>
      <w:r w:rsidR="00A976D4">
        <w:rPr>
          <w:b/>
        </w:rPr>
        <w:t>, Chair</w:t>
      </w:r>
    </w:p>
    <w:p w:rsidR="004458EA" w:rsidRDefault="004458EA" w:rsidP="000B4E40">
      <w:pPr>
        <w:spacing w:line="240" w:lineRule="auto"/>
        <w:contextualSpacing/>
        <w:rPr>
          <w:b/>
        </w:rPr>
      </w:pPr>
    </w:p>
    <w:p w:rsidR="0095718F" w:rsidRPr="0095718F" w:rsidRDefault="0095718F" w:rsidP="0095718F">
      <w:pPr>
        <w:numPr>
          <w:ilvl w:val="0"/>
          <w:numId w:val="11"/>
        </w:numPr>
        <w:spacing w:after="0" w:line="240" w:lineRule="auto"/>
        <w:contextualSpacing/>
        <w:rPr>
          <w:rFonts w:eastAsia="Times New Roman"/>
          <w:color w:val="000000"/>
        </w:rPr>
      </w:pPr>
      <w:r w:rsidRPr="0095718F">
        <w:rPr>
          <w:rFonts w:eastAsia="Times New Roman"/>
          <w:color w:val="000000"/>
        </w:rPr>
        <w:t>Made announcements, collected applications and ranked candidates for different awards and made recommendations to the Provost and President.</w:t>
      </w:r>
    </w:p>
    <w:p w:rsidR="0095718F" w:rsidRPr="0095718F" w:rsidRDefault="0095718F" w:rsidP="0095718F">
      <w:pPr>
        <w:numPr>
          <w:ilvl w:val="0"/>
          <w:numId w:val="11"/>
        </w:numPr>
        <w:spacing w:after="0" w:line="240" w:lineRule="auto"/>
        <w:contextualSpacing/>
        <w:rPr>
          <w:rFonts w:eastAsia="Times New Roman"/>
          <w:color w:val="000000"/>
        </w:rPr>
      </w:pPr>
      <w:r w:rsidRPr="0095718F">
        <w:rPr>
          <w:rFonts w:eastAsia="Times New Roman"/>
          <w:color w:val="000000"/>
        </w:rPr>
        <w:t>Senate Elections were conducted according to the constitution and bylaws using electronic technology (i.e., Qualtrics).</w:t>
      </w:r>
    </w:p>
    <w:p w:rsidR="0095718F" w:rsidRPr="0095718F" w:rsidRDefault="0095718F" w:rsidP="0095718F">
      <w:pPr>
        <w:numPr>
          <w:ilvl w:val="0"/>
          <w:numId w:val="11"/>
        </w:numPr>
        <w:spacing w:after="0" w:line="240" w:lineRule="auto"/>
        <w:contextualSpacing/>
        <w:rPr>
          <w:rFonts w:eastAsia="Times New Roman"/>
          <w:color w:val="000000"/>
        </w:rPr>
      </w:pPr>
      <w:r w:rsidRPr="0095718F">
        <w:rPr>
          <w:rFonts w:eastAsia="Times New Roman"/>
          <w:color w:val="000000"/>
        </w:rPr>
        <w:t>Guided changes to the bylaws and constitution.</w:t>
      </w:r>
    </w:p>
    <w:p w:rsidR="0095718F" w:rsidRPr="0095718F" w:rsidRDefault="0095718F" w:rsidP="0095718F">
      <w:pPr>
        <w:numPr>
          <w:ilvl w:val="0"/>
          <w:numId w:val="11"/>
        </w:numPr>
        <w:spacing w:after="0" w:line="240" w:lineRule="auto"/>
        <w:contextualSpacing/>
        <w:rPr>
          <w:rFonts w:eastAsia="Times New Roman"/>
          <w:color w:val="000000"/>
        </w:rPr>
      </w:pPr>
      <w:r w:rsidRPr="0095718F">
        <w:rPr>
          <w:rFonts w:eastAsia="Times New Roman"/>
          <w:color w:val="000000"/>
        </w:rPr>
        <w:t>ABE committee provided guidance to the senate, its officers and members to make sure that senate actions and procedures were in compliance with the senate constitution and bylaws.</w:t>
      </w:r>
    </w:p>
    <w:p w:rsidR="00FB0B72" w:rsidRDefault="00FB0B72" w:rsidP="000B4E40">
      <w:pPr>
        <w:spacing w:line="240" w:lineRule="auto"/>
        <w:contextualSpacing/>
      </w:pPr>
    </w:p>
    <w:p w:rsidR="00FB0B72" w:rsidRDefault="00FB0B72" w:rsidP="000B4E40">
      <w:pPr>
        <w:spacing w:line="240" w:lineRule="auto"/>
        <w:contextualSpacing/>
      </w:pPr>
    </w:p>
    <w:p w:rsidR="00FB0B72" w:rsidRPr="00FB0B72" w:rsidRDefault="00A5191F" w:rsidP="000B4E40">
      <w:pPr>
        <w:spacing w:line="240" w:lineRule="auto"/>
        <w:contextualSpacing/>
        <w:rPr>
          <w:b/>
        </w:rPr>
      </w:pPr>
      <w:r>
        <w:rPr>
          <w:b/>
        </w:rPr>
        <w:t xml:space="preserve">V. Budget Analysis </w:t>
      </w:r>
      <w:r w:rsidR="00A976D4">
        <w:rPr>
          <w:b/>
        </w:rPr>
        <w:t xml:space="preserve">– Dr. </w:t>
      </w:r>
      <w:r w:rsidR="0028715D">
        <w:rPr>
          <w:b/>
        </w:rPr>
        <w:t>Dorina Murgulet</w:t>
      </w:r>
      <w:r w:rsidR="00A976D4">
        <w:rPr>
          <w:b/>
        </w:rPr>
        <w:t>, Chair</w:t>
      </w:r>
    </w:p>
    <w:p w:rsidR="009E630B" w:rsidRDefault="009E630B" w:rsidP="000B4E40">
      <w:pPr>
        <w:spacing w:line="240" w:lineRule="auto"/>
        <w:contextualSpacing/>
      </w:pPr>
    </w:p>
    <w:p w:rsidR="00551F25" w:rsidRPr="00551F25" w:rsidRDefault="00551F25" w:rsidP="00551F25">
      <w:pPr>
        <w:numPr>
          <w:ilvl w:val="0"/>
          <w:numId w:val="13"/>
        </w:numPr>
        <w:spacing w:line="240" w:lineRule="auto"/>
        <w:contextualSpacing/>
      </w:pPr>
      <w:r w:rsidRPr="00551F25">
        <w:t xml:space="preserve">Proposed and continuously engaged in the analysis and solutions to offer tuition assistance to graduate students through meetings with the Provost and Vice President for Academic Affairs, Dr. Clarenda Phillips and Interim Dean of Graduate Studies, Dr. Karen McCaleb. </w:t>
      </w:r>
    </w:p>
    <w:p w:rsidR="00551F25" w:rsidRPr="00551F25" w:rsidRDefault="00551F25" w:rsidP="00551F25">
      <w:pPr>
        <w:numPr>
          <w:ilvl w:val="0"/>
          <w:numId w:val="13"/>
        </w:numPr>
        <w:spacing w:line="240" w:lineRule="auto"/>
        <w:contextualSpacing/>
      </w:pPr>
      <w:r w:rsidRPr="00551F25">
        <w:t>Engaged in analysis of budgetary issues affecting faculty through meetings with the Provost and Vice President for Academic Affairs, Dr. Clarenda Phillips.</w:t>
      </w:r>
    </w:p>
    <w:p w:rsidR="00551F25" w:rsidRPr="00551F25" w:rsidRDefault="00551F25" w:rsidP="00551F25">
      <w:pPr>
        <w:numPr>
          <w:ilvl w:val="0"/>
          <w:numId w:val="13"/>
        </w:numPr>
        <w:spacing w:line="240" w:lineRule="auto"/>
        <w:contextualSpacing/>
      </w:pPr>
      <w:r w:rsidRPr="00551F25">
        <w:t>Proposed inclusion of faculty representation on the budget development process and discussed potential solutions.</w:t>
      </w:r>
    </w:p>
    <w:p w:rsidR="00551F25" w:rsidRPr="00551F25" w:rsidRDefault="00551F25" w:rsidP="00551F25">
      <w:pPr>
        <w:numPr>
          <w:ilvl w:val="0"/>
          <w:numId w:val="13"/>
        </w:numPr>
        <w:spacing w:line="240" w:lineRule="auto"/>
        <w:contextualSpacing/>
      </w:pPr>
      <w:r w:rsidRPr="00551F25">
        <w:t xml:space="preserve">Brought concerns and questions of faculty related to university finances and budgets to Provost and Vice President for Academic Affairs, Dr. Clarenda Phillips.  </w:t>
      </w:r>
    </w:p>
    <w:p w:rsidR="00844BE5" w:rsidRDefault="00844BE5" w:rsidP="0007416F">
      <w:pPr>
        <w:spacing w:line="240" w:lineRule="auto"/>
        <w:contextualSpacing/>
      </w:pPr>
    </w:p>
    <w:p w:rsidR="00844BE5" w:rsidRDefault="00844BE5" w:rsidP="0007416F">
      <w:pPr>
        <w:spacing w:line="240" w:lineRule="auto"/>
        <w:contextualSpacing/>
      </w:pPr>
    </w:p>
    <w:p w:rsidR="00844BE5" w:rsidRPr="004D076A" w:rsidRDefault="004B5E6B" w:rsidP="00844BE5">
      <w:pPr>
        <w:rPr>
          <w:b/>
        </w:rPr>
      </w:pPr>
      <w:r>
        <w:rPr>
          <w:b/>
        </w:rPr>
        <w:t>VI</w:t>
      </w:r>
      <w:r w:rsidR="00844BE5" w:rsidRPr="004D076A">
        <w:rPr>
          <w:b/>
        </w:rPr>
        <w:t xml:space="preserve">. </w:t>
      </w:r>
      <w:r w:rsidR="00844BE5">
        <w:rPr>
          <w:b/>
        </w:rPr>
        <w:t>Noteworthy</w:t>
      </w:r>
      <w:r w:rsidR="00844BE5" w:rsidRPr="004D076A">
        <w:rPr>
          <w:b/>
        </w:rPr>
        <w:t xml:space="preserve"> </w:t>
      </w:r>
      <w:r w:rsidR="00844BE5">
        <w:rPr>
          <w:b/>
        </w:rPr>
        <w:t xml:space="preserve">Accomplishments </w:t>
      </w:r>
    </w:p>
    <w:p w:rsidR="00844BE5" w:rsidRDefault="003267B6" w:rsidP="00844B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Worked with administration to implement a </w:t>
      </w:r>
      <w:r w:rsidR="00844BE5">
        <w:rPr>
          <w:rFonts w:ascii="Times New Roman" w:hAnsi="Times New Roman" w:cs="Times New Roman"/>
          <w:sz w:val="24"/>
          <w:szCs w:val="24"/>
        </w:rPr>
        <w:t xml:space="preserve">faculty salary merit and equity </w:t>
      </w:r>
      <w:r>
        <w:rPr>
          <w:rFonts w:ascii="Times New Roman" w:hAnsi="Times New Roman" w:cs="Times New Roman"/>
          <w:sz w:val="24"/>
          <w:szCs w:val="24"/>
        </w:rPr>
        <w:t xml:space="preserve">plan </w:t>
      </w:r>
      <w:r w:rsidR="00844BE5">
        <w:rPr>
          <w:rFonts w:ascii="Times New Roman" w:hAnsi="Times New Roman" w:cs="Times New Roman"/>
          <w:sz w:val="24"/>
          <w:szCs w:val="24"/>
        </w:rPr>
        <w:t>that resulted in the following:</w:t>
      </w:r>
    </w:p>
    <w:p w:rsidR="00844BE5" w:rsidRDefault="00844BE5" w:rsidP="00844BE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Increased raises for promotion to associate professor ($5,000) and full professor ($7,000).</w:t>
      </w:r>
    </w:p>
    <w:p w:rsidR="00844BE5" w:rsidRDefault="00844BE5" w:rsidP="00844BE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option of receiving a fixed amount promotion raise or the median benchmark salary for the new rank, whichever is greater.</w:t>
      </w:r>
    </w:p>
    <w:p w:rsidR="00844BE5" w:rsidRDefault="00844BE5" w:rsidP="00844BE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Raises for successful Post </w:t>
      </w:r>
      <w:r w:rsidR="0010573A">
        <w:rPr>
          <w:rFonts w:ascii="Times New Roman" w:hAnsi="Times New Roman" w:cs="Times New Roman"/>
          <w:sz w:val="24"/>
          <w:szCs w:val="24"/>
        </w:rPr>
        <w:t>Tenure Review for associate ($2,500</w:t>
      </w:r>
      <w:r>
        <w:rPr>
          <w:rFonts w:ascii="Times New Roman" w:hAnsi="Times New Roman" w:cs="Times New Roman"/>
          <w:sz w:val="24"/>
          <w:szCs w:val="24"/>
        </w:rPr>
        <w:t>) and full professors ($5,000).</w:t>
      </w:r>
    </w:p>
    <w:p w:rsidR="003267B6" w:rsidRPr="003267B6" w:rsidRDefault="00844BE5" w:rsidP="003267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Pr="00321E53">
        <w:rPr>
          <w:rFonts w:ascii="Times New Roman" w:hAnsi="Times New Roman" w:cs="Times New Roman"/>
          <w:sz w:val="24"/>
          <w:szCs w:val="24"/>
        </w:rPr>
        <w:t>Faculty Survey</w:t>
      </w:r>
      <w:r>
        <w:rPr>
          <w:rFonts w:ascii="Times New Roman" w:hAnsi="Times New Roman" w:cs="Times New Roman"/>
          <w:sz w:val="24"/>
          <w:szCs w:val="24"/>
        </w:rPr>
        <w:t xml:space="preserve"> of governance items was conducted and responses w</w:t>
      </w:r>
      <w:r w:rsidR="00845BBD">
        <w:rPr>
          <w:rFonts w:ascii="Times New Roman" w:hAnsi="Times New Roman" w:cs="Times New Roman"/>
          <w:sz w:val="24"/>
          <w:szCs w:val="24"/>
        </w:rPr>
        <w:t>ill be made available to the 2019-2020 Faculty Senate</w:t>
      </w:r>
      <w:r>
        <w:rPr>
          <w:rFonts w:ascii="Times New Roman" w:hAnsi="Times New Roman" w:cs="Times New Roman"/>
          <w:sz w:val="24"/>
          <w:szCs w:val="24"/>
        </w:rPr>
        <w:t xml:space="preserve"> for discussion and consideration.</w:t>
      </w:r>
    </w:p>
    <w:p w:rsidR="00844BE5" w:rsidRPr="009E630B" w:rsidRDefault="00844BE5" w:rsidP="00252998">
      <w:pPr>
        <w:pStyle w:val="ListParagraph"/>
        <w:numPr>
          <w:ilvl w:val="0"/>
          <w:numId w:val="7"/>
        </w:numPr>
        <w:spacing w:line="240" w:lineRule="auto"/>
      </w:pPr>
      <w:r w:rsidRPr="00321E53">
        <w:rPr>
          <w:rFonts w:ascii="Times New Roman" w:hAnsi="Times New Roman" w:cs="Times New Roman"/>
          <w:sz w:val="24"/>
          <w:szCs w:val="24"/>
        </w:rPr>
        <w:t>Hired a new Administrative Associate (</w:t>
      </w:r>
      <w:r w:rsidR="000662A7">
        <w:rPr>
          <w:rFonts w:ascii="Times New Roman" w:hAnsi="Times New Roman" w:cs="Times New Roman"/>
          <w:sz w:val="24"/>
          <w:szCs w:val="24"/>
        </w:rPr>
        <w:t>LaNiece Tucker</w:t>
      </w:r>
      <w:r w:rsidRPr="00321E53">
        <w:rPr>
          <w:rFonts w:ascii="Times New Roman" w:hAnsi="Times New Roman" w:cs="Times New Roman"/>
          <w:sz w:val="24"/>
          <w:szCs w:val="24"/>
        </w:rPr>
        <w:t>)</w:t>
      </w:r>
      <w:r w:rsidR="0010573A">
        <w:rPr>
          <w:rFonts w:ascii="Times New Roman" w:hAnsi="Times New Roman" w:cs="Times New Roman"/>
          <w:sz w:val="24"/>
          <w:szCs w:val="24"/>
        </w:rPr>
        <w:t>.</w:t>
      </w:r>
    </w:p>
    <w:sectPr w:rsidR="00844BE5" w:rsidRPr="009E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965"/>
    <w:multiLevelType w:val="hybridMultilevel"/>
    <w:tmpl w:val="C5084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361B"/>
    <w:multiLevelType w:val="hybridMultilevel"/>
    <w:tmpl w:val="E07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36F0"/>
    <w:multiLevelType w:val="hybridMultilevel"/>
    <w:tmpl w:val="A86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C3657"/>
    <w:multiLevelType w:val="hybridMultilevel"/>
    <w:tmpl w:val="228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6C7"/>
    <w:multiLevelType w:val="hybridMultilevel"/>
    <w:tmpl w:val="2B803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D772D"/>
    <w:multiLevelType w:val="hybridMultilevel"/>
    <w:tmpl w:val="ED34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57D22"/>
    <w:multiLevelType w:val="hybridMultilevel"/>
    <w:tmpl w:val="BDF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71DAD"/>
    <w:multiLevelType w:val="hybridMultilevel"/>
    <w:tmpl w:val="1C4A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E317B"/>
    <w:multiLevelType w:val="hybridMultilevel"/>
    <w:tmpl w:val="D4DC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7729D"/>
    <w:multiLevelType w:val="hybridMultilevel"/>
    <w:tmpl w:val="674C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15351"/>
    <w:multiLevelType w:val="hybridMultilevel"/>
    <w:tmpl w:val="1A1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9185A"/>
    <w:multiLevelType w:val="hybridMultilevel"/>
    <w:tmpl w:val="E8EC6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F41370"/>
    <w:multiLevelType w:val="hybridMultilevel"/>
    <w:tmpl w:val="C2AE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1"/>
  </w:num>
  <w:num w:numId="5">
    <w:abstractNumId w:val="8"/>
  </w:num>
  <w:num w:numId="6">
    <w:abstractNumId w:val="4"/>
  </w:num>
  <w:num w:numId="7">
    <w:abstractNumId w:val="12"/>
  </w:num>
  <w:num w:numId="8">
    <w:abstractNumId w:val="7"/>
  </w:num>
  <w:num w:numId="9">
    <w:abstractNumId w:val="3"/>
  </w:num>
  <w:num w:numId="10">
    <w:abstractNumId w:val="10"/>
  </w:num>
  <w:num w:numId="11">
    <w:abstractNumId w:val="6"/>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D2"/>
    <w:rsid w:val="00030650"/>
    <w:rsid w:val="000662A7"/>
    <w:rsid w:val="0007416F"/>
    <w:rsid w:val="000B4E40"/>
    <w:rsid w:val="000C77C2"/>
    <w:rsid w:val="0010573A"/>
    <w:rsid w:val="00191ABA"/>
    <w:rsid w:val="002143AC"/>
    <w:rsid w:val="0024577B"/>
    <w:rsid w:val="0028715D"/>
    <w:rsid w:val="00291B84"/>
    <w:rsid w:val="002A7829"/>
    <w:rsid w:val="002B09FC"/>
    <w:rsid w:val="002C49FB"/>
    <w:rsid w:val="0032142D"/>
    <w:rsid w:val="00321E53"/>
    <w:rsid w:val="003267B6"/>
    <w:rsid w:val="00401E27"/>
    <w:rsid w:val="004458EA"/>
    <w:rsid w:val="004610E1"/>
    <w:rsid w:val="00463D96"/>
    <w:rsid w:val="004B51F5"/>
    <w:rsid w:val="004B5E6B"/>
    <w:rsid w:val="004D076A"/>
    <w:rsid w:val="004E76B0"/>
    <w:rsid w:val="004F5757"/>
    <w:rsid w:val="00512E19"/>
    <w:rsid w:val="00524AD7"/>
    <w:rsid w:val="00534BF7"/>
    <w:rsid w:val="00551F25"/>
    <w:rsid w:val="00565FC0"/>
    <w:rsid w:val="005A1DA8"/>
    <w:rsid w:val="00602EE6"/>
    <w:rsid w:val="00623576"/>
    <w:rsid w:val="00666E14"/>
    <w:rsid w:val="007427E8"/>
    <w:rsid w:val="00746969"/>
    <w:rsid w:val="00761F16"/>
    <w:rsid w:val="00771043"/>
    <w:rsid w:val="007C6AD8"/>
    <w:rsid w:val="00817C9F"/>
    <w:rsid w:val="00844BE5"/>
    <w:rsid w:val="00845BBD"/>
    <w:rsid w:val="008465D3"/>
    <w:rsid w:val="008B200C"/>
    <w:rsid w:val="008F04D4"/>
    <w:rsid w:val="0095718F"/>
    <w:rsid w:val="00977497"/>
    <w:rsid w:val="009E49D2"/>
    <w:rsid w:val="009E630B"/>
    <w:rsid w:val="009E6D75"/>
    <w:rsid w:val="009F0811"/>
    <w:rsid w:val="009F3E52"/>
    <w:rsid w:val="00A12E69"/>
    <w:rsid w:val="00A21276"/>
    <w:rsid w:val="00A41545"/>
    <w:rsid w:val="00A5191F"/>
    <w:rsid w:val="00A56C6C"/>
    <w:rsid w:val="00A976D4"/>
    <w:rsid w:val="00B6139A"/>
    <w:rsid w:val="00BB60C2"/>
    <w:rsid w:val="00BF5224"/>
    <w:rsid w:val="00C17E0A"/>
    <w:rsid w:val="00C7102F"/>
    <w:rsid w:val="00CE763B"/>
    <w:rsid w:val="00CE7AD2"/>
    <w:rsid w:val="00CF2E10"/>
    <w:rsid w:val="00D87A07"/>
    <w:rsid w:val="00D93FAF"/>
    <w:rsid w:val="00DC60F9"/>
    <w:rsid w:val="00E11F69"/>
    <w:rsid w:val="00E14E07"/>
    <w:rsid w:val="00E3485E"/>
    <w:rsid w:val="00EF24D4"/>
    <w:rsid w:val="00F448F2"/>
    <w:rsid w:val="00FB0B72"/>
    <w:rsid w:val="00FD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051A-9BC1-460B-A751-9618989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FC0"/>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E1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3635">
      <w:bodyDiv w:val="1"/>
      <w:marLeft w:val="0"/>
      <w:marRight w:val="0"/>
      <w:marTop w:val="0"/>
      <w:marBottom w:val="0"/>
      <w:divBdr>
        <w:top w:val="none" w:sz="0" w:space="0" w:color="auto"/>
        <w:left w:val="none" w:sz="0" w:space="0" w:color="auto"/>
        <w:bottom w:val="none" w:sz="0" w:space="0" w:color="auto"/>
        <w:right w:val="none" w:sz="0" w:space="0" w:color="auto"/>
      </w:divBdr>
    </w:div>
    <w:div w:id="1537690783">
      <w:bodyDiv w:val="1"/>
      <w:marLeft w:val="0"/>
      <w:marRight w:val="0"/>
      <w:marTop w:val="0"/>
      <w:marBottom w:val="0"/>
      <w:divBdr>
        <w:top w:val="none" w:sz="0" w:space="0" w:color="auto"/>
        <w:left w:val="none" w:sz="0" w:space="0" w:color="auto"/>
        <w:bottom w:val="none" w:sz="0" w:space="0" w:color="auto"/>
        <w:right w:val="none" w:sz="0" w:space="0" w:color="auto"/>
      </w:divBdr>
    </w:div>
    <w:div w:id="1700543802">
      <w:bodyDiv w:val="1"/>
      <w:marLeft w:val="0"/>
      <w:marRight w:val="0"/>
      <w:marTop w:val="0"/>
      <w:marBottom w:val="0"/>
      <w:divBdr>
        <w:top w:val="none" w:sz="0" w:space="0" w:color="auto"/>
        <w:left w:val="none" w:sz="0" w:space="0" w:color="auto"/>
        <w:bottom w:val="none" w:sz="0" w:space="0" w:color="auto"/>
        <w:right w:val="none" w:sz="0" w:space="0" w:color="auto"/>
      </w:divBdr>
      <w:divsChild>
        <w:div w:id="100301034">
          <w:marLeft w:val="720"/>
          <w:marRight w:val="0"/>
          <w:marTop w:val="0"/>
          <w:marBottom w:val="0"/>
          <w:divBdr>
            <w:top w:val="none" w:sz="0" w:space="0" w:color="auto"/>
            <w:left w:val="none" w:sz="0" w:space="0" w:color="auto"/>
            <w:bottom w:val="none" w:sz="0" w:space="0" w:color="auto"/>
            <w:right w:val="none" w:sz="0" w:space="0" w:color="auto"/>
          </w:divBdr>
        </w:div>
        <w:div w:id="1410544986">
          <w:marLeft w:val="720"/>
          <w:marRight w:val="0"/>
          <w:marTop w:val="0"/>
          <w:marBottom w:val="0"/>
          <w:divBdr>
            <w:top w:val="none" w:sz="0" w:space="0" w:color="auto"/>
            <w:left w:val="none" w:sz="0" w:space="0" w:color="auto"/>
            <w:bottom w:val="none" w:sz="0" w:space="0" w:color="auto"/>
            <w:right w:val="none" w:sz="0" w:space="0" w:color="auto"/>
          </w:divBdr>
        </w:div>
        <w:div w:id="17432183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Ozymy</dc:creator>
  <cp:keywords/>
  <dc:description/>
  <cp:lastModifiedBy>Tucker, LaNiece</cp:lastModifiedBy>
  <cp:revision>2</cp:revision>
  <cp:lastPrinted>2019-04-12T17:44:00Z</cp:lastPrinted>
  <dcterms:created xsi:type="dcterms:W3CDTF">2019-05-28T15:09:00Z</dcterms:created>
  <dcterms:modified xsi:type="dcterms:W3CDTF">2019-05-28T15:09:00Z</dcterms:modified>
</cp:coreProperties>
</file>